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746" w:rsidRDefault="0093621A">
      <w:pPr>
        <w:spacing w:line="643" w:lineRule="exact"/>
        <w:ind w:left="116"/>
        <w:rPr>
          <w:rFonts w:ascii="Calibri Light"/>
          <w:sz w:val="56"/>
        </w:rPr>
      </w:pPr>
      <w:r>
        <w:rPr>
          <w:rFonts w:ascii="Calibri Light"/>
          <w:spacing w:val="-11"/>
          <w:sz w:val="56"/>
        </w:rPr>
        <w:t>Positionen</w:t>
      </w:r>
    </w:p>
    <w:p w:rsidR="00D15746" w:rsidRDefault="0093621A">
      <w:pPr>
        <w:pStyle w:val="Textkrper"/>
      </w:pPr>
      <w:r>
        <w:rPr>
          <w:spacing w:val="8"/>
        </w:rPr>
        <w:t xml:space="preserve">AG </w:t>
      </w:r>
      <w:bookmarkStart w:id="0" w:name="_GoBack"/>
      <w:bookmarkEnd w:id="0"/>
      <w:r>
        <w:rPr>
          <w:spacing w:val="12"/>
        </w:rPr>
        <w:t xml:space="preserve">Bewegung </w:t>
      </w:r>
      <w:r>
        <w:t>&amp;</w:t>
      </w:r>
      <w:r>
        <w:rPr>
          <w:spacing w:val="16"/>
        </w:rPr>
        <w:t xml:space="preserve"> </w:t>
      </w:r>
      <w:r>
        <w:rPr>
          <w:spacing w:val="12"/>
        </w:rPr>
        <w:t>Sport</w:t>
      </w:r>
    </w:p>
    <w:p w:rsidR="00D15746" w:rsidRDefault="0093621A">
      <w:pPr>
        <w:pStyle w:val="Textkrper"/>
        <w:spacing w:before="183" w:line="259" w:lineRule="auto"/>
        <w:ind w:right="107"/>
      </w:pPr>
      <w:r>
        <w:t>Die Arbeitsgemeinschaft Bewegung &amp; Sport im VBS versteht sich als Forum für all diejenigen, die sich in ihrer beruflichen Tätigkeit für die Bewegungs- und Sportförderung blinder und sehbehinderter Menschen interessieren und einsetzen. Als Zielgruppe unsere</w:t>
      </w:r>
      <w:r>
        <w:t>r AG sehen wir dementsprechend Sportlehrkräfte sowie pädagogisch oder therapeutisch orientiertes Fachpersonal wie z. B. Motopädagog*innen, Gymnastiklehrer*innen oder Bewegungstherpaut*innen. Was uns miteinander verbindet, ist vor allem das Bewusstsein über</w:t>
      </w:r>
      <w:r>
        <w:t xml:space="preserve"> die Bedeutung des Faktors Bewegung für die kindliche bzw. menschliche Entwicklung.</w:t>
      </w:r>
    </w:p>
    <w:p w:rsidR="00D15746" w:rsidRDefault="0093621A">
      <w:pPr>
        <w:pStyle w:val="Textkrper"/>
        <w:spacing w:before="159" w:line="259" w:lineRule="auto"/>
        <w:ind w:right="126"/>
      </w:pPr>
      <w:r>
        <w:t>Im Verständnis der modernen Entwicklungspsychologie sowie in sport- und bewegungspädagogischen Ansätzen vollzieht sich die Entwicklung von Kindern und Jugendlichen in der</w:t>
      </w:r>
      <w:r>
        <w:rPr>
          <w:spacing w:val="-7"/>
        </w:rPr>
        <w:t xml:space="preserve"> </w:t>
      </w:r>
      <w:r>
        <w:t>s</w:t>
      </w:r>
      <w:r>
        <w:t>elbständigen,</w:t>
      </w:r>
      <w:r>
        <w:rPr>
          <w:spacing w:val="-4"/>
        </w:rPr>
        <w:t xml:space="preserve"> </w:t>
      </w:r>
      <w:r>
        <w:t>aktiven</w:t>
      </w:r>
      <w:r>
        <w:rPr>
          <w:spacing w:val="-6"/>
        </w:rPr>
        <w:t xml:space="preserve"> </w:t>
      </w:r>
      <w:r>
        <w:t>und</w:t>
      </w:r>
      <w:r>
        <w:rPr>
          <w:spacing w:val="-5"/>
        </w:rPr>
        <w:t xml:space="preserve"> </w:t>
      </w:r>
      <w:r>
        <w:t>handelnden</w:t>
      </w:r>
      <w:r>
        <w:rPr>
          <w:spacing w:val="-6"/>
        </w:rPr>
        <w:t xml:space="preserve"> </w:t>
      </w:r>
      <w:r>
        <w:t>Auseinandersetzung</w:t>
      </w:r>
      <w:r>
        <w:rPr>
          <w:spacing w:val="-5"/>
        </w:rPr>
        <w:t xml:space="preserve"> </w:t>
      </w:r>
      <w:r>
        <w:t>mit</w:t>
      </w:r>
      <w:r>
        <w:rPr>
          <w:spacing w:val="-7"/>
        </w:rPr>
        <w:t xml:space="preserve"> </w:t>
      </w:r>
      <w:r>
        <w:t>der</w:t>
      </w:r>
      <w:r>
        <w:rPr>
          <w:spacing w:val="-3"/>
        </w:rPr>
        <w:t xml:space="preserve"> </w:t>
      </w:r>
      <w:r>
        <w:t>Umwelt.</w:t>
      </w:r>
      <w:r>
        <w:rPr>
          <w:spacing w:val="-1"/>
        </w:rPr>
        <w:t xml:space="preserve"> </w:t>
      </w:r>
      <w:r>
        <w:t>Wahrnehmung</w:t>
      </w:r>
      <w:r>
        <w:rPr>
          <w:spacing w:val="-6"/>
        </w:rPr>
        <w:t xml:space="preserve"> </w:t>
      </w:r>
      <w:r>
        <w:t>und Lernen sind in diesem Sinne nicht als passive Abbildungsprozesse von Sinneseindrücken zu verstehen, sondern als Ausdruck eines komplexen Zusammenwirkens von Wahrnehmung</w:t>
      </w:r>
      <w:r>
        <w:t xml:space="preserve"> und Bewegung.</w:t>
      </w:r>
      <w:r>
        <w:rPr>
          <w:spacing w:val="-6"/>
        </w:rPr>
        <w:t xml:space="preserve"> </w:t>
      </w:r>
      <w:r>
        <w:t>Kindliche</w:t>
      </w:r>
      <w:r>
        <w:rPr>
          <w:spacing w:val="-6"/>
        </w:rPr>
        <w:t xml:space="preserve"> </w:t>
      </w:r>
      <w:r>
        <w:t>Handlungskompetenz</w:t>
      </w:r>
      <w:r>
        <w:rPr>
          <w:spacing w:val="-4"/>
        </w:rPr>
        <w:t xml:space="preserve"> </w:t>
      </w:r>
      <w:r>
        <w:t>kann</w:t>
      </w:r>
      <w:r>
        <w:rPr>
          <w:spacing w:val="-4"/>
        </w:rPr>
        <w:t xml:space="preserve"> </w:t>
      </w:r>
      <w:r>
        <w:t>sich</w:t>
      </w:r>
      <w:r>
        <w:rPr>
          <w:spacing w:val="-5"/>
        </w:rPr>
        <w:t xml:space="preserve"> </w:t>
      </w:r>
      <w:r>
        <w:t>in</w:t>
      </w:r>
      <w:r>
        <w:rPr>
          <w:spacing w:val="-5"/>
        </w:rPr>
        <w:t xml:space="preserve"> </w:t>
      </w:r>
      <w:r>
        <w:t>diesem</w:t>
      </w:r>
      <w:r>
        <w:rPr>
          <w:spacing w:val="-5"/>
        </w:rPr>
        <w:t xml:space="preserve"> </w:t>
      </w:r>
      <w:r>
        <w:t>Verständnis</w:t>
      </w:r>
      <w:r>
        <w:rPr>
          <w:spacing w:val="-4"/>
        </w:rPr>
        <w:t xml:space="preserve"> </w:t>
      </w:r>
      <w:r>
        <w:t>nur</w:t>
      </w:r>
      <w:r>
        <w:rPr>
          <w:spacing w:val="-6"/>
        </w:rPr>
        <w:t xml:space="preserve"> </w:t>
      </w:r>
      <w:r>
        <w:t>aktivitäts-gebunden,</w:t>
      </w:r>
    </w:p>
    <w:p w:rsidR="00D15746" w:rsidRDefault="0093621A">
      <w:pPr>
        <w:pStyle w:val="Listenabsatz"/>
        <w:numPr>
          <w:ilvl w:val="0"/>
          <w:numId w:val="1"/>
        </w:numPr>
        <w:tabs>
          <w:tab w:val="left" w:pos="337"/>
        </w:tabs>
        <w:spacing w:before="0" w:line="259" w:lineRule="auto"/>
        <w:ind w:right="426" w:firstLine="0"/>
        <w:jc w:val="both"/>
      </w:pPr>
      <w:r>
        <w:t>h.</w:t>
      </w:r>
      <w:r>
        <w:rPr>
          <w:spacing w:val="-5"/>
        </w:rPr>
        <w:t xml:space="preserve"> </w:t>
      </w:r>
      <w:r>
        <w:t>auf</w:t>
      </w:r>
      <w:r>
        <w:rPr>
          <w:spacing w:val="-4"/>
        </w:rPr>
        <w:t xml:space="preserve"> </w:t>
      </w:r>
      <w:r>
        <w:t>der</w:t>
      </w:r>
      <w:r>
        <w:rPr>
          <w:spacing w:val="-3"/>
        </w:rPr>
        <w:t xml:space="preserve"> </w:t>
      </w:r>
      <w:r>
        <w:t>Basis</w:t>
      </w:r>
      <w:r>
        <w:rPr>
          <w:spacing w:val="-4"/>
        </w:rPr>
        <w:t xml:space="preserve"> </w:t>
      </w:r>
      <w:r>
        <w:t>von</w:t>
      </w:r>
      <w:r>
        <w:rPr>
          <w:spacing w:val="-4"/>
        </w:rPr>
        <w:t xml:space="preserve"> </w:t>
      </w:r>
      <w:r>
        <w:t>Bewegungshandlungen</w:t>
      </w:r>
      <w:r>
        <w:rPr>
          <w:spacing w:val="-5"/>
        </w:rPr>
        <w:t xml:space="preserve"> </w:t>
      </w:r>
      <w:r>
        <w:t>entwickeln.</w:t>
      </w:r>
      <w:r>
        <w:rPr>
          <w:spacing w:val="-5"/>
        </w:rPr>
        <w:t xml:space="preserve"> </w:t>
      </w:r>
      <w:r>
        <w:t>Als</w:t>
      </w:r>
      <w:r>
        <w:rPr>
          <w:spacing w:val="-4"/>
        </w:rPr>
        <w:t xml:space="preserve"> </w:t>
      </w:r>
      <w:r>
        <w:t>zentraler</w:t>
      </w:r>
      <w:r>
        <w:rPr>
          <w:spacing w:val="-2"/>
        </w:rPr>
        <w:t xml:space="preserve"> </w:t>
      </w:r>
      <w:r>
        <w:t>Punkt</w:t>
      </w:r>
      <w:r>
        <w:rPr>
          <w:spacing w:val="-4"/>
        </w:rPr>
        <w:t xml:space="preserve"> </w:t>
      </w:r>
      <w:r>
        <w:t>für</w:t>
      </w:r>
      <w:r>
        <w:rPr>
          <w:spacing w:val="-6"/>
        </w:rPr>
        <w:t xml:space="preserve"> </w:t>
      </w:r>
      <w:r>
        <w:t>die</w:t>
      </w:r>
      <w:r>
        <w:rPr>
          <w:spacing w:val="-7"/>
        </w:rPr>
        <w:t xml:space="preserve"> </w:t>
      </w:r>
      <w:r>
        <w:t>Erschließung bzw. Konstruktion der Welt kann dabei der eigene Körper gelten, der in physischer wie psychisch- emotionaler Hinsicht die Grundlage der Orientierung in der Welt</w:t>
      </w:r>
      <w:r>
        <w:rPr>
          <w:spacing w:val="-21"/>
        </w:rPr>
        <w:t xml:space="preserve"> </w:t>
      </w:r>
      <w:r>
        <w:t>darstellt.</w:t>
      </w:r>
    </w:p>
    <w:p w:rsidR="00D15746" w:rsidRDefault="0093621A">
      <w:pPr>
        <w:pStyle w:val="Textkrper"/>
        <w:spacing w:before="158" w:line="259" w:lineRule="auto"/>
        <w:ind w:right="271"/>
      </w:pPr>
      <w:r>
        <w:t xml:space="preserve">Dieser Prozess kann bei blinden und sehbehinderten Kindern tendenziell </w:t>
      </w:r>
      <w:r>
        <w:t>gefährdet sein. Zum einen kann aufgrund fehlender visueller Stimuli schon in frühen Entwicklungsphasen – dies gilt insbesondere für blinde Kinder – die Motivation zum eigenständigen Bewegungshandeln beeinträchtigt sein. Zum anderen erschwert die eingeschrä</w:t>
      </w:r>
      <w:r>
        <w:t>nkte visuelle Kontrolle grundlegende Prozesse der Raumerfahrung, die wiederum die Voraussetzung für ein angstfreies und sicheres Bewegungshandeln darstellen. In der Konsequenz verfügen blinde und sehbehinderte Kinder und Jugendliche zum Teil über weniger B</w:t>
      </w:r>
      <w:r>
        <w:t>ewegungserfahrungen und damit verbundene Chancen zur Entwicklung einer individuellen und kulturellen Identität. Eine auf die Entwicklungsförderung ausgerichtete Bewegungs- und Sporterziehung muss daher als zentraler Bestandteil der pädagogischen Arbeit mit</w:t>
      </w:r>
      <w:r>
        <w:t xml:space="preserve"> blinden und sehbehinderten Menschen begriffen werden. Diese Aussage gilt im Sinne lebenslangen Lernens auch für Erwachsene. Durch die in und mit Bewegung und Sport stattfindende unmittelbare Auseinandersetzung mit dem eigenen Körper und der Umwelt können </w:t>
      </w:r>
      <w:r>
        <w:t>positive Bewegungserfahrungen und die entsprechenden Erfolgserlebnisse zudem einen wesentlichen Beitrag zur Stärkung des Selbstvertrauens und des Selbstwertgefühls von Menschen mit einer Sehbehinderung liefern.</w:t>
      </w:r>
    </w:p>
    <w:p w:rsidR="00D15746" w:rsidRDefault="0093621A">
      <w:pPr>
        <w:pStyle w:val="Textkrper"/>
        <w:spacing w:before="158" w:line="259" w:lineRule="auto"/>
        <w:ind w:right="121"/>
      </w:pPr>
      <w:r>
        <w:t>Zudem eröffnet ein motorischer Kompetenzerwer</w:t>
      </w:r>
      <w:r>
        <w:t>b (z. B. Bogenschießen oder Skifahren können) blinden und sehbehinderten Kindern und Jugendlichen Teilhabechancen. Über spezifische motorische Kompetenzen zu verfügen, erleichtert den Zugang zu Sportvereinen, kommerziellen Sportanbietern oder zu informelle</w:t>
      </w:r>
      <w:r>
        <w:t>n Sportangeboten, wenn sich die Jugendlichen einer Straße beispielsweise nachmittags zum „Kicken“ verabreden. Wir verstehen motorische Kompetenz deshalb als notwendige Grundvoraussetzung, um an solchen Angeboten zu partizipieren. Dadurch wird Teilhabe an d</w:t>
      </w:r>
      <w:r>
        <w:t>er Gesellschaft angebahnt und Möglichkeiten zum gemeinsamen bzw. inklusiven Sporttreiben mit Sehenden ermöglicht.</w:t>
      </w:r>
    </w:p>
    <w:p w:rsidR="00D15746" w:rsidRDefault="0093621A">
      <w:pPr>
        <w:pStyle w:val="Textkrper"/>
        <w:spacing w:before="157" w:line="259" w:lineRule="auto"/>
      </w:pPr>
      <w:r>
        <w:t>Das hier skizzierte Verständnis der Bedeutung des Faktors Bewegung für die pädagogische bzw. therapeutische Arbeit mit sehgeschädigten Mensche</w:t>
      </w:r>
      <w:r>
        <w:t>n kann im Rahmen der Blinden- und Sehbehindertenpädagogik allerdings nicht als selbstverständlich vorausgesetzt werden. Im Gegenteil: Die derzeit gültigen Empfehlungen der KMK zum „Förderschwerpunkt Sehen“ vernachlässigen den</w:t>
      </w:r>
    </w:p>
    <w:p w:rsidR="00D15746" w:rsidRDefault="00D15746">
      <w:pPr>
        <w:spacing w:line="259" w:lineRule="auto"/>
        <w:sectPr w:rsidR="00D15746">
          <w:type w:val="continuous"/>
          <w:pgSz w:w="11910" w:h="16840"/>
          <w:pgMar w:top="1440" w:right="1340" w:bottom="280" w:left="1300" w:header="720" w:footer="720" w:gutter="0"/>
          <w:cols w:space="720"/>
        </w:sectPr>
      </w:pPr>
    </w:p>
    <w:p w:rsidR="00D15746" w:rsidRDefault="0093621A">
      <w:pPr>
        <w:pStyle w:val="Textkrper"/>
        <w:spacing w:before="39" w:line="259" w:lineRule="auto"/>
        <w:ind w:right="258"/>
      </w:pPr>
      <w:r>
        <w:lastRenderedPageBreak/>
        <w:t>Aspekt der Bew</w:t>
      </w:r>
      <w:r>
        <w:t>egung in enttäuschender Weise. Als ein wesentliches Ziel unserer AG begreifen wir daher das Bemühen, den Stellenwert des Themas Bewegung innerhalb und außerhalb unseres Verbandes noch stärker zu verdeutlichen. Diese Zielsetzung erscheint angesichts der sic</w:t>
      </w:r>
      <w:r>
        <w:t xml:space="preserve">h verändernden gesellschaftlichen Bedingungen von Kindheit und Jugend umso wichtiger. Wir setzen uns vor diesem Hintergrund dafür ein, dass die personelle und sächliche Ausstattung von sonder- oder allgemeinpädagogischen Einrichtungen, in denen blinde und </w:t>
      </w:r>
      <w:r>
        <w:t>sehbehinderte Menschen unterrichtet und gefördert werden, unter dem Aspekt der Bewegungs- und Sportförderung spürbar verbessert wird, um die Entwicklungschancen und die Lebensqualität der Betroffenen zu erhöhen.</w:t>
      </w:r>
    </w:p>
    <w:p w:rsidR="00D15746" w:rsidRDefault="0093621A">
      <w:pPr>
        <w:pStyle w:val="Textkrper"/>
        <w:spacing w:before="160" w:line="259" w:lineRule="auto"/>
        <w:ind w:right="173"/>
      </w:pPr>
      <w:r>
        <w:t xml:space="preserve">Insbesondere bei der Beschulung blinder und </w:t>
      </w:r>
      <w:r>
        <w:t>sehbehinderter Kinder im inklusiven Unterricht ist dafür Sorge zu tragen, dass die betroffenen Kinder und Jugendlichen auch am Sportunterricht gleichberechtigt teilhaben können. Dafür ist es unabdingbar nötig, die Aus-, Fort- und Weiterbildung der Sportleh</w:t>
      </w:r>
      <w:r>
        <w:t>rkräfte an den Regelschulen, um das entsprechende behindertenpädagogische Knowhow zu ergänzen.</w:t>
      </w:r>
    </w:p>
    <w:p w:rsidR="00D15746" w:rsidRDefault="0093621A">
      <w:pPr>
        <w:pStyle w:val="Textkrper"/>
        <w:spacing w:before="158"/>
      </w:pPr>
      <w:r>
        <w:t>Weitere Schwerpunkte unserer Arbeit liegen in folgenden Bereichen:</w:t>
      </w:r>
    </w:p>
    <w:p w:rsidR="00D15746" w:rsidRDefault="0093621A">
      <w:pPr>
        <w:pStyle w:val="Listenabsatz"/>
        <w:numPr>
          <w:ilvl w:val="1"/>
          <w:numId w:val="1"/>
        </w:numPr>
        <w:tabs>
          <w:tab w:val="left" w:pos="1188"/>
          <w:tab w:val="left" w:pos="1189"/>
        </w:tabs>
        <w:spacing w:before="184"/>
      </w:pPr>
      <w:r>
        <w:t>Planung und Durchführung von</w:t>
      </w:r>
      <w:r>
        <w:rPr>
          <w:spacing w:val="-9"/>
        </w:rPr>
        <w:t xml:space="preserve"> </w:t>
      </w:r>
      <w:r>
        <w:t>Fortbildungsveranstaltungen</w:t>
      </w:r>
    </w:p>
    <w:p w:rsidR="00D15746" w:rsidRDefault="0093621A">
      <w:pPr>
        <w:pStyle w:val="Listenabsatz"/>
        <w:numPr>
          <w:ilvl w:val="1"/>
          <w:numId w:val="1"/>
        </w:numPr>
        <w:tabs>
          <w:tab w:val="left" w:pos="1188"/>
          <w:tab w:val="left" w:pos="1189"/>
        </w:tabs>
      </w:pPr>
      <w:r>
        <w:t>Angebote zur Weiterqualifizierung der</w:t>
      </w:r>
      <w:r>
        <w:rPr>
          <w:spacing w:val="-13"/>
        </w:rPr>
        <w:t xml:space="preserve"> </w:t>
      </w:r>
      <w:r>
        <w:t>AG-Mitglieder</w:t>
      </w:r>
    </w:p>
    <w:p w:rsidR="00D15746" w:rsidRDefault="0093621A">
      <w:pPr>
        <w:pStyle w:val="Listenabsatz"/>
        <w:numPr>
          <w:ilvl w:val="1"/>
          <w:numId w:val="1"/>
        </w:numPr>
        <w:tabs>
          <w:tab w:val="left" w:pos="1188"/>
          <w:tab w:val="left" w:pos="1189"/>
        </w:tabs>
        <w:spacing w:before="24"/>
      </w:pPr>
      <w:r>
        <w:t>Kooperation mit anderen Arbeitsgemeinschaften des</w:t>
      </w:r>
      <w:r>
        <w:rPr>
          <w:spacing w:val="1"/>
        </w:rPr>
        <w:t xml:space="preserve"> </w:t>
      </w:r>
      <w:r>
        <w:t>VBS</w:t>
      </w:r>
    </w:p>
    <w:p w:rsidR="00D15746" w:rsidRDefault="0093621A">
      <w:pPr>
        <w:pStyle w:val="Listenabsatz"/>
        <w:numPr>
          <w:ilvl w:val="1"/>
          <w:numId w:val="1"/>
        </w:numPr>
        <w:tabs>
          <w:tab w:val="left" w:pos="1188"/>
          <w:tab w:val="left" w:pos="1189"/>
        </w:tabs>
        <w:spacing w:line="256" w:lineRule="auto"/>
        <w:ind w:right="891"/>
      </w:pPr>
      <w:r>
        <w:t>Mitarbeit</w:t>
      </w:r>
      <w:r>
        <w:rPr>
          <w:spacing w:val="-6"/>
        </w:rPr>
        <w:t xml:space="preserve"> </w:t>
      </w:r>
      <w:r>
        <w:t>bei</w:t>
      </w:r>
      <w:r>
        <w:rPr>
          <w:spacing w:val="-3"/>
        </w:rPr>
        <w:t xml:space="preserve"> </w:t>
      </w:r>
      <w:r>
        <w:t>der</w:t>
      </w:r>
      <w:r>
        <w:rPr>
          <w:spacing w:val="-1"/>
        </w:rPr>
        <w:t xml:space="preserve"> </w:t>
      </w:r>
      <w:r>
        <w:t>Verankerung</w:t>
      </w:r>
      <w:r>
        <w:rPr>
          <w:spacing w:val="-4"/>
        </w:rPr>
        <w:t xml:space="preserve"> </w:t>
      </w:r>
      <w:r>
        <w:t>des</w:t>
      </w:r>
      <w:r>
        <w:rPr>
          <w:spacing w:val="-3"/>
        </w:rPr>
        <w:t xml:space="preserve"> </w:t>
      </w:r>
      <w:r>
        <w:t>Themas</w:t>
      </w:r>
      <w:r>
        <w:rPr>
          <w:spacing w:val="-3"/>
        </w:rPr>
        <w:t xml:space="preserve"> </w:t>
      </w:r>
      <w:r>
        <w:t>Bewegung</w:t>
      </w:r>
      <w:r>
        <w:rPr>
          <w:spacing w:val="-4"/>
        </w:rPr>
        <w:t xml:space="preserve"> </w:t>
      </w:r>
      <w:r>
        <w:t>und</w:t>
      </w:r>
      <w:r>
        <w:rPr>
          <w:spacing w:val="-4"/>
        </w:rPr>
        <w:t xml:space="preserve"> </w:t>
      </w:r>
      <w:r>
        <w:t>Sport</w:t>
      </w:r>
      <w:r>
        <w:rPr>
          <w:spacing w:val="-5"/>
        </w:rPr>
        <w:t xml:space="preserve"> </w:t>
      </w:r>
      <w:r>
        <w:t>im</w:t>
      </w:r>
      <w:r>
        <w:rPr>
          <w:spacing w:val="-4"/>
        </w:rPr>
        <w:t xml:space="preserve"> </w:t>
      </w:r>
      <w:r>
        <w:t>Rahmen</w:t>
      </w:r>
      <w:r>
        <w:rPr>
          <w:spacing w:val="-4"/>
        </w:rPr>
        <w:t xml:space="preserve"> </w:t>
      </w:r>
      <w:r>
        <w:t>von Lehrplänen, Rahmenrichtlinien u.</w:t>
      </w:r>
      <w:r>
        <w:rPr>
          <w:spacing w:val="-5"/>
        </w:rPr>
        <w:t xml:space="preserve"> </w:t>
      </w:r>
      <w:r>
        <w:t>ä.</w:t>
      </w:r>
    </w:p>
    <w:p w:rsidR="00D15746" w:rsidRDefault="0093621A">
      <w:pPr>
        <w:pStyle w:val="Listenabsatz"/>
        <w:numPr>
          <w:ilvl w:val="1"/>
          <w:numId w:val="1"/>
        </w:numPr>
        <w:tabs>
          <w:tab w:val="left" w:pos="1188"/>
          <w:tab w:val="left" w:pos="1189"/>
        </w:tabs>
        <w:spacing w:before="5" w:line="256" w:lineRule="auto"/>
        <w:ind w:right="908"/>
      </w:pPr>
      <w:r>
        <w:t>Zusammenarbeit</w:t>
      </w:r>
      <w:r>
        <w:rPr>
          <w:spacing w:val="-7"/>
        </w:rPr>
        <w:t xml:space="preserve"> </w:t>
      </w:r>
      <w:r>
        <w:t>mit</w:t>
      </w:r>
      <w:r>
        <w:rPr>
          <w:spacing w:val="-7"/>
        </w:rPr>
        <w:t xml:space="preserve"> </w:t>
      </w:r>
      <w:r>
        <w:t>den</w:t>
      </w:r>
      <w:r>
        <w:rPr>
          <w:spacing w:val="-6"/>
        </w:rPr>
        <w:t xml:space="preserve"> </w:t>
      </w:r>
      <w:r>
        <w:t>Ausbildungsinstitutionen</w:t>
      </w:r>
      <w:r>
        <w:rPr>
          <w:spacing w:val="-5"/>
        </w:rPr>
        <w:t xml:space="preserve"> </w:t>
      </w:r>
      <w:r>
        <w:t>zu</w:t>
      </w:r>
      <w:r>
        <w:rPr>
          <w:spacing w:val="-5"/>
        </w:rPr>
        <w:t xml:space="preserve"> </w:t>
      </w:r>
      <w:r>
        <w:t>Fragen</w:t>
      </w:r>
      <w:r>
        <w:rPr>
          <w:spacing w:val="-5"/>
        </w:rPr>
        <w:t xml:space="preserve"> </w:t>
      </w:r>
      <w:r>
        <w:t>des Sports</w:t>
      </w:r>
      <w:r>
        <w:rPr>
          <w:spacing w:val="-5"/>
        </w:rPr>
        <w:t xml:space="preserve"> </w:t>
      </w:r>
      <w:r>
        <w:t>und</w:t>
      </w:r>
      <w:r>
        <w:rPr>
          <w:spacing w:val="-5"/>
        </w:rPr>
        <w:t xml:space="preserve"> </w:t>
      </w:r>
      <w:r>
        <w:t xml:space="preserve">der </w:t>
      </w:r>
      <w:r>
        <w:t>Bewegungserziehung</w:t>
      </w:r>
    </w:p>
    <w:p w:rsidR="00D15746" w:rsidRDefault="00D15746">
      <w:pPr>
        <w:pStyle w:val="Textkrper"/>
        <w:ind w:left="0"/>
      </w:pPr>
    </w:p>
    <w:p w:rsidR="00D15746" w:rsidRDefault="00D15746">
      <w:pPr>
        <w:pStyle w:val="Textkrper"/>
        <w:spacing w:before="4"/>
        <w:ind w:left="0"/>
        <w:rPr>
          <w:sz w:val="28"/>
        </w:rPr>
      </w:pPr>
    </w:p>
    <w:p w:rsidR="00D15746" w:rsidRDefault="0093621A">
      <w:pPr>
        <w:pStyle w:val="Textkrper"/>
      </w:pPr>
      <w:r>
        <w:t>Im Namen des Vorstands der VBS-AG Bewegung und Sport</w:t>
      </w:r>
    </w:p>
    <w:p w:rsidR="00D15746" w:rsidRDefault="00D15746">
      <w:pPr>
        <w:pStyle w:val="Textkrper"/>
        <w:ind w:left="0"/>
        <w:rPr>
          <w:sz w:val="20"/>
        </w:rPr>
      </w:pPr>
    </w:p>
    <w:p w:rsidR="00D15746" w:rsidRDefault="0093621A">
      <w:pPr>
        <w:pStyle w:val="Textkrper"/>
        <w:spacing w:before="10"/>
        <w:ind w:left="0"/>
        <w:rPr>
          <w:sz w:val="21"/>
        </w:rPr>
      </w:pPr>
      <w:r>
        <w:rPr>
          <w:noProof/>
        </w:rPr>
        <w:drawing>
          <wp:anchor distT="0" distB="0" distL="0" distR="0" simplePos="0" relativeHeight="251658240" behindDoc="0" locked="0" layoutInCell="1" allowOverlap="1">
            <wp:simplePos x="0" y="0"/>
            <wp:positionH relativeFrom="page">
              <wp:posOffset>1137825</wp:posOffset>
            </wp:positionH>
            <wp:positionV relativeFrom="paragraph">
              <wp:posOffset>194431</wp:posOffset>
            </wp:positionV>
            <wp:extent cx="1363432" cy="42976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63432" cy="429767"/>
                    </a:xfrm>
                    <a:prstGeom prst="rect">
                      <a:avLst/>
                    </a:prstGeom>
                  </pic:spPr>
                </pic:pic>
              </a:graphicData>
            </a:graphic>
          </wp:anchor>
        </w:drawing>
      </w:r>
    </w:p>
    <w:p w:rsidR="00D15746" w:rsidRDefault="00D15746">
      <w:pPr>
        <w:pStyle w:val="Textkrper"/>
        <w:spacing w:before="10"/>
        <w:ind w:left="0"/>
        <w:rPr>
          <w:sz w:val="27"/>
        </w:rPr>
      </w:pPr>
    </w:p>
    <w:p w:rsidR="00D15746" w:rsidRDefault="0093621A">
      <w:pPr>
        <w:pStyle w:val="Textkrper"/>
      </w:pPr>
      <w:r>
        <w:t>PD Dr. Martin Giese</w:t>
      </w:r>
    </w:p>
    <w:sectPr w:rsidR="00D15746">
      <w:pgSz w:w="11910" w:h="16840"/>
      <w:pgMar w:top="136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8580B"/>
    <w:multiLevelType w:val="hybridMultilevel"/>
    <w:tmpl w:val="B4A0D702"/>
    <w:lvl w:ilvl="0" w:tplc="ED2E8BA2">
      <w:start w:val="4"/>
      <w:numFmt w:val="lowerLetter"/>
      <w:lvlText w:val="%1."/>
      <w:lvlJc w:val="left"/>
      <w:pPr>
        <w:ind w:left="116" w:hanging="220"/>
        <w:jc w:val="left"/>
      </w:pPr>
      <w:rPr>
        <w:rFonts w:ascii="Calibri" w:eastAsia="Calibri" w:hAnsi="Calibri" w:cs="Calibri" w:hint="default"/>
        <w:spacing w:val="-1"/>
        <w:w w:val="100"/>
        <w:sz w:val="22"/>
        <w:szCs w:val="22"/>
        <w:lang w:val="de-DE" w:eastAsia="de-DE" w:bidi="de-DE"/>
      </w:rPr>
    </w:lvl>
    <w:lvl w:ilvl="1" w:tplc="45123764">
      <w:numFmt w:val="bullet"/>
      <w:lvlText w:val="•"/>
      <w:lvlJc w:val="left"/>
      <w:pPr>
        <w:ind w:left="1189" w:hanging="713"/>
      </w:pPr>
      <w:rPr>
        <w:rFonts w:ascii="Calibri" w:eastAsia="Calibri" w:hAnsi="Calibri" w:cs="Calibri" w:hint="default"/>
        <w:spacing w:val="-2"/>
        <w:w w:val="100"/>
        <w:sz w:val="22"/>
        <w:szCs w:val="22"/>
        <w:lang w:val="de-DE" w:eastAsia="de-DE" w:bidi="de-DE"/>
      </w:rPr>
    </w:lvl>
    <w:lvl w:ilvl="2" w:tplc="7136901E">
      <w:numFmt w:val="bullet"/>
      <w:lvlText w:val="•"/>
      <w:lvlJc w:val="left"/>
      <w:pPr>
        <w:ind w:left="2078" w:hanging="713"/>
      </w:pPr>
      <w:rPr>
        <w:rFonts w:hint="default"/>
        <w:lang w:val="de-DE" w:eastAsia="de-DE" w:bidi="de-DE"/>
      </w:rPr>
    </w:lvl>
    <w:lvl w:ilvl="3" w:tplc="38E063F8">
      <w:numFmt w:val="bullet"/>
      <w:lvlText w:val="•"/>
      <w:lvlJc w:val="left"/>
      <w:pPr>
        <w:ind w:left="2977" w:hanging="713"/>
      </w:pPr>
      <w:rPr>
        <w:rFonts w:hint="default"/>
        <w:lang w:val="de-DE" w:eastAsia="de-DE" w:bidi="de-DE"/>
      </w:rPr>
    </w:lvl>
    <w:lvl w:ilvl="4" w:tplc="B442D1F4">
      <w:numFmt w:val="bullet"/>
      <w:lvlText w:val="•"/>
      <w:lvlJc w:val="left"/>
      <w:pPr>
        <w:ind w:left="3876" w:hanging="713"/>
      </w:pPr>
      <w:rPr>
        <w:rFonts w:hint="default"/>
        <w:lang w:val="de-DE" w:eastAsia="de-DE" w:bidi="de-DE"/>
      </w:rPr>
    </w:lvl>
    <w:lvl w:ilvl="5" w:tplc="0D7CA562">
      <w:numFmt w:val="bullet"/>
      <w:lvlText w:val="•"/>
      <w:lvlJc w:val="left"/>
      <w:pPr>
        <w:ind w:left="4774" w:hanging="713"/>
      </w:pPr>
      <w:rPr>
        <w:rFonts w:hint="default"/>
        <w:lang w:val="de-DE" w:eastAsia="de-DE" w:bidi="de-DE"/>
      </w:rPr>
    </w:lvl>
    <w:lvl w:ilvl="6" w:tplc="51FC8000">
      <w:numFmt w:val="bullet"/>
      <w:lvlText w:val="•"/>
      <w:lvlJc w:val="left"/>
      <w:pPr>
        <w:ind w:left="5673" w:hanging="713"/>
      </w:pPr>
      <w:rPr>
        <w:rFonts w:hint="default"/>
        <w:lang w:val="de-DE" w:eastAsia="de-DE" w:bidi="de-DE"/>
      </w:rPr>
    </w:lvl>
    <w:lvl w:ilvl="7" w:tplc="F6420CE4">
      <w:numFmt w:val="bullet"/>
      <w:lvlText w:val="•"/>
      <w:lvlJc w:val="left"/>
      <w:pPr>
        <w:ind w:left="6572" w:hanging="713"/>
      </w:pPr>
      <w:rPr>
        <w:rFonts w:hint="default"/>
        <w:lang w:val="de-DE" w:eastAsia="de-DE" w:bidi="de-DE"/>
      </w:rPr>
    </w:lvl>
    <w:lvl w:ilvl="8" w:tplc="C7CC5EBE">
      <w:numFmt w:val="bullet"/>
      <w:lvlText w:val="•"/>
      <w:lvlJc w:val="left"/>
      <w:pPr>
        <w:ind w:left="7470" w:hanging="713"/>
      </w:pPr>
      <w:rPr>
        <w:rFonts w:hint="default"/>
        <w:lang w:val="de-DE" w:eastAsia="de-DE" w:bidi="de-D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D15746"/>
    <w:rsid w:val="0093621A"/>
    <w:rsid w:val="00D157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BC8C"/>
  <w15:docId w15:val="{C39527AD-1831-4FED-B54C-83B11349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lang w:val="de-DE"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style>
  <w:style w:type="paragraph" w:styleId="Listenabsatz">
    <w:name w:val="List Paragraph"/>
    <w:basedOn w:val="Standard"/>
    <w:uiPriority w:val="1"/>
    <w:qFormat/>
    <w:pPr>
      <w:spacing w:before="19"/>
      <w:ind w:left="1189" w:hanging="713"/>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4675</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Giese</dc:creator>
  <cp:lastModifiedBy>Patrick Temmesfeld</cp:lastModifiedBy>
  <cp:revision>2</cp:revision>
  <dcterms:created xsi:type="dcterms:W3CDTF">2020-07-08T13:21:00Z</dcterms:created>
  <dcterms:modified xsi:type="dcterms:W3CDTF">2021-02-25T12:24:00Z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2019-11-17T00:00:00Z</vt:filetime>
  </property>
  <property fmtid="{D5CDD505-2E9C-101B-9397-08002B2CF9AE}" pid="3" name="Creator">
    <vt:lpwstr>Microsoft® Word für Office 365</vt:lpwstr>
  </property>
  <property fmtid="{D5CDD505-2E9C-101B-9397-08002B2CF9AE}" pid="4" name="LastSaved">
    <vt:filetime>2020-07-08T00:00:00Z</vt:filetime>
  </property>
</Properties>
</file>