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97ABE" w14:textId="0E14A62F" w:rsidR="00AD395D" w:rsidRPr="005240FE" w:rsidRDefault="00AD395D" w:rsidP="00E83471">
      <w:pPr>
        <w:pStyle w:val="berschrift1"/>
      </w:pPr>
      <w:bookmarkStart w:id="0" w:name="_GoBack"/>
      <w:bookmarkEnd w:id="0"/>
      <w:r w:rsidRPr="005240FE">
        <w:t>Low</w:t>
      </w:r>
      <w:r w:rsidR="00FD4046">
        <w:t xml:space="preserve"> </w:t>
      </w:r>
      <w:r w:rsidRPr="005240FE">
        <w:t>Vision</w:t>
      </w:r>
    </w:p>
    <w:p w14:paraId="7C06A515" w14:textId="50480F8D" w:rsidR="00AD395D" w:rsidRPr="00FE6CE9" w:rsidRDefault="00AD395D" w:rsidP="00FD4046">
      <w:pPr>
        <w:pStyle w:val="02Flietext"/>
      </w:pPr>
      <w:r>
        <w:t>„Low Vision” heißt wörtlich übersetzt “Herabgesetztes Sehvermögen”. Im Kontext von pädagogischer Beratun</w:t>
      </w:r>
      <w:r w:rsidR="00DE73AC">
        <w:t xml:space="preserve">g und Förderung bezeichnet “Low </w:t>
      </w:r>
      <w:r>
        <w:t xml:space="preserve">Vision” die optimale Nutzung des </w:t>
      </w:r>
      <w:r w:rsidR="00FD4046">
        <w:t xml:space="preserve">vorhandenen </w:t>
      </w:r>
      <w:r>
        <w:t xml:space="preserve">Sehvermögens in der Habilitation und Rehabilitation von Menschen mit einer </w:t>
      </w:r>
      <w:r w:rsidR="00201EDE">
        <w:t>Sehbeeinträchtigung.</w:t>
      </w:r>
    </w:p>
    <w:p w14:paraId="25F82392" w14:textId="7099156F" w:rsidR="00AD395D" w:rsidRDefault="00AD395D" w:rsidP="00AD395D">
      <w:pPr>
        <w:pStyle w:val="berschrift2"/>
      </w:pPr>
      <w:bookmarkStart w:id="1" w:name="_Toc330882003"/>
      <w:bookmarkStart w:id="2" w:name="_Toc330882559"/>
      <w:bookmarkStart w:id="3" w:name="_Toc330882799"/>
      <w:r>
        <w:t>Situationsbeschreibung und Personenkreis</w:t>
      </w:r>
      <w:bookmarkEnd w:id="1"/>
      <w:bookmarkEnd w:id="2"/>
      <w:bookmarkEnd w:id="3"/>
    </w:p>
    <w:p w14:paraId="3B796524" w14:textId="4353F025" w:rsidR="00AD395D" w:rsidRDefault="00DE73AC" w:rsidP="00FD4046">
      <w:pPr>
        <w:pStyle w:val="02Flietext"/>
      </w:pPr>
      <w:r>
        <w:t xml:space="preserve">Low </w:t>
      </w:r>
      <w:r w:rsidR="00AD395D" w:rsidRPr="005240FE">
        <w:t>Vision</w:t>
      </w:r>
      <w:r w:rsidR="00AD395D">
        <w:t xml:space="preserve"> betrifft Personen mit einer</w:t>
      </w:r>
      <w:r w:rsidR="00201EDE">
        <w:t xml:space="preserve"> Beeinträchtigung des Sehens</w:t>
      </w:r>
      <w:r w:rsidR="00FE6CE9">
        <w:t xml:space="preserve"> </w:t>
      </w:r>
      <w:r w:rsidR="00AD395D">
        <w:t>in jeder Altersstufe. Jeder Lebenskontext erfordert seine individuellen Zugangsweisen und bedingt auch seinen eigenen pädagogischen Beratungs- und Förderbedarf, ob in der Frühförderung, in der Schule, im Beruf, in der Rehabilitation oder im hohen Lebensalter.</w:t>
      </w:r>
    </w:p>
    <w:p w14:paraId="3B29EC65" w14:textId="77777777" w:rsidR="00AD395D" w:rsidRDefault="00AD395D">
      <w:pPr>
        <w:pStyle w:val="02Flietext"/>
      </w:pPr>
      <w:r>
        <w:t xml:space="preserve">So betont die Klassifikation der WHO in der </w:t>
      </w:r>
      <w:r w:rsidRPr="005240FE">
        <w:t>International Classification of Functioning, Disability and Health</w:t>
      </w:r>
      <w:r>
        <w:t xml:space="preserve"> (ICF) besonders die Bedeutung der Umweltbedingungen und Veränderbarkeit von Kontextbedingungen. Damit wird ein relationales Verständnis von Behinderung postuliert, welches Konsequenzen für alle pädagogischen und rehabilitativen Theorien und Handlungen zur Folge haben muss.</w:t>
      </w:r>
    </w:p>
    <w:p w14:paraId="525EC21F" w14:textId="11E710CE" w:rsidR="00AD395D" w:rsidRDefault="00AD395D">
      <w:pPr>
        <w:pStyle w:val="02Flietext"/>
      </w:pPr>
      <w:r>
        <w:t xml:space="preserve">Eine der Hauptursachen für </w:t>
      </w:r>
      <w:r w:rsidR="00201EDE">
        <w:t>Sehbeeinträchtigungen im</w:t>
      </w:r>
      <w:r>
        <w:t xml:space="preserve"> Kindesalter sind cerebral bedingte Sehfunktionsveränderungen (CVI) bzw. Beeinträchtigungen der visuellen Wahrnehmung. Hier ist, bezogen auf die funktionale Diagnostik und die Förderung, ein hoher Bedarf an Forschung und Fortbildung auch weiterhin notwendig.</w:t>
      </w:r>
    </w:p>
    <w:p w14:paraId="1849FA87" w14:textId="77777777" w:rsidR="00AD395D" w:rsidRDefault="00AD395D">
      <w:pPr>
        <w:pStyle w:val="02Flietext"/>
      </w:pPr>
      <w:r>
        <w:t>Ein großer Teil der Menschen mit körperlichen und/oder geistigen Beeinträchtigungen hat auch Seheinbußen und ist hinsichtlich der medizinischen Versorgung und pädagogischen Beratung und Unterstützung unterversorgt.</w:t>
      </w:r>
    </w:p>
    <w:p w14:paraId="691CC9A8" w14:textId="493822BA" w:rsidR="00AD395D" w:rsidRPr="008218FD" w:rsidRDefault="00AD395D" w:rsidP="00FD4046">
      <w:pPr>
        <w:widowControl w:val="0"/>
        <w:autoSpaceDE w:val="0"/>
        <w:autoSpaceDN w:val="0"/>
        <w:adjustRightInd w:val="0"/>
        <w:spacing w:after="240" w:line="380" w:lineRule="atLeast"/>
        <w:rPr>
          <w:rFonts w:cs="Times"/>
          <w:lang w:val="de-DE"/>
        </w:rPr>
      </w:pPr>
      <w:r w:rsidRPr="008218FD">
        <w:rPr>
          <w:rFonts w:ascii="Univers" w:hAnsi="Univers"/>
          <w:lang w:val="de-DE"/>
        </w:rPr>
        <w:t xml:space="preserve">Die veränderte Altersstruktur in Deutschland hat zur Folge, dass es </w:t>
      </w:r>
      <w:r w:rsidR="00201EDE" w:rsidRPr="008218FD">
        <w:rPr>
          <w:rFonts w:ascii="Univers" w:hAnsi="Univers"/>
          <w:lang w:val="de-DE"/>
        </w:rPr>
        <w:t xml:space="preserve">immer mehr </w:t>
      </w:r>
      <w:r w:rsidRPr="008218FD">
        <w:rPr>
          <w:rFonts w:ascii="Univers" w:hAnsi="Univers"/>
          <w:lang w:val="de-DE"/>
        </w:rPr>
        <w:t>Menschen im Senior</w:t>
      </w:r>
      <w:r w:rsidR="00B67644" w:rsidRPr="008218FD">
        <w:rPr>
          <w:rFonts w:ascii="Univers" w:hAnsi="Univers"/>
          <w:lang w:val="de-DE"/>
        </w:rPr>
        <w:t>/inn</w:t>
      </w:r>
      <w:r w:rsidRPr="008218FD">
        <w:rPr>
          <w:rFonts w:ascii="Univers" w:hAnsi="Univers"/>
          <w:lang w:val="de-DE"/>
        </w:rPr>
        <w:t xml:space="preserve">enalter mit erhöhtem Vergrößerungsbedarf, Kontrastproblemen, </w:t>
      </w:r>
      <w:r w:rsidR="00FD4046" w:rsidRPr="008218FD">
        <w:rPr>
          <w:rFonts w:ascii="Univers" w:hAnsi="Univers"/>
          <w:lang w:val="de-DE"/>
        </w:rPr>
        <w:t xml:space="preserve">Gesichtsfeldeinschränkungen </w:t>
      </w:r>
      <w:r w:rsidRPr="008218FD">
        <w:rPr>
          <w:rFonts w:ascii="Univers" w:hAnsi="Univers"/>
          <w:lang w:val="de-DE"/>
        </w:rPr>
        <w:t xml:space="preserve">und visuell bedingten Wahrnehmungsbeeinträchtigungen (z. B. durch Schlaganfall) gibt. Sie bedürfen zunehmend einer Low-Vision-Beratung und </w:t>
      </w:r>
      <w:r w:rsidR="004438B3" w:rsidRPr="008218FD">
        <w:rPr>
          <w:rFonts w:ascii="Univers" w:hAnsi="Univers"/>
          <w:lang w:val="de-DE"/>
        </w:rPr>
        <w:t>–</w:t>
      </w:r>
      <w:r w:rsidRPr="008218FD">
        <w:rPr>
          <w:rFonts w:ascii="Univers" w:hAnsi="Univers"/>
          <w:lang w:val="de-DE"/>
        </w:rPr>
        <w:t>Versorgung</w:t>
      </w:r>
      <w:r w:rsidR="004438B3" w:rsidRPr="008218FD">
        <w:rPr>
          <w:rFonts w:ascii="Univers" w:hAnsi="Univers"/>
          <w:lang w:val="de-DE"/>
        </w:rPr>
        <w:t xml:space="preserve"> insbesondere auch deshalb, weil zunehmende funktionelle </w:t>
      </w:r>
      <w:r w:rsidR="004438B3" w:rsidRPr="008218FD">
        <w:rPr>
          <w:rFonts w:ascii="Univers" w:hAnsi="Univers"/>
          <w:lang w:val="de-DE"/>
        </w:rPr>
        <w:lastRenderedPageBreak/>
        <w:t>Einschränkungen im höheren Lebensalter</w:t>
      </w:r>
      <w:r w:rsidR="008478E8" w:rsidRPr="008218FD">
        <w:rPr>
          <w:rFonts w:ascii="Univers" w:hAnsi="Univers"/>
          <w:lang w:val="de-DE"/>
        </w:rPr>
        <w:t xml:space="preserve"> </w:t>
      </w:r>
      <w:r w:rsidR="008478E8" w:rsidRPr="008218FD">
        <w:rPr>
          <w:rFonts w:ascii="Univers" w:hAnsi="Univers" w:cs="Verdana"/>
          <w:color w:val="000000"/>
          <w:lang w:val="de-DE"/>
        </w:rPr>
        <w:t>wie z. B. Bewegungseinschränkungen, Hörverlust, Demenz oder auch Multimorbidität</w:t>
      </w:r>
      <w:r w:rsidR="008478E8" w:rsidRPr="008218FD">
        <w:rPr>
          <w:rFonts w:ascii="Univers" w:hAnsi="Univers" w:cs="Verdana"/>
          <w:color w:val="000000"/>
          <w:sz w:val="32"/>
          <w:szCs w:val="32"/>
          <w:lang w:val="de-DE"/>
        </w:rPr>
        <w:t xml:space="preserve"> </w:t>
      </w:r>
      <w:r w:rsidR="004438B3" w:rsidRPr="008218FD">
        <w:rPr>
          <w:rFonts w:ascii="Univers" w:hAnsi="Univers"/>
          <w:lang w:val="de-DE"/>
        </w:rPr>
        <w:t>oft als angstauslösend erlebt werden und die Tendenz zur Vereinsamung verstärken können.</w:t>
      </w:r>
    </w:p>
    <w:p w14:paraId="10713037" w14:textId="7BC6A574" w:rsidR="00AD395D" w:rsidRPr="00FD4046" w:rsidRDefault="00AD395D" w:rsidP="00FD4046">
      <w:pPr>
        <w:pStyle w:val="02Flietext"/>
      </w:pPr>
      <w:r w:rsidRPr="00DA125E">
        <w:t xml:space="preserve">Zur Beratung und Versorgung von Menschen mit herabgesetztem Sehvermögen stehen im deutschsprachigen Raum </w:t>
      </w:r>
      <w:r w:rsidR="00782766" w:rsidRPr="003D37B4">
        <w:t xml:space="preserve">einzelne Beratungsstellen für Menschen mit Low Vision </w:t>
      </w:r>
      <w:r w:rsidRPr="003D37B4">
        <w:t>zur Verfügung</w:t>
      </w:r>
      <w:r w:rsidR="00782766" w:rsidRPr="003D37B4">
        <w:t>. Diese sind entweder an Augenkliniken</w:t>
      </w:r>
      <w:r w:rsidR="00C44899" w:rsidRPr="003D37B4">
        <w:t xml:space="preserve">, </w:t>
      </w:r>
      <w:r w:rsidR="00782766" w:rsidRPr="003D37B4">
        <w:t xml:space="preserve">-praxen </w:t>
      </w:r>
      <w:r w:rsidR="00C44899" w:rsidRPr="003D37B4">
        <w:t xml:space="preserve">oder </w:t>
      </w:r>
      <w:r w:rsidR="00857BB1" w:rsidRPr="003D37B4">
        <w:t>Augeno</w:t>
      </w:r>
      <w:r w:rsidR="00C44899" w:rsidRPr="003D37B4">
        <w:t>ptikfachgeschäfte</w:t>
      </w:r>
      <w:r w:rsidR="00782766" w:rsidRPr="00DA125E">
        <w:t xml:space="preserve"> </w:t>
      </w:r>
      <w:r w:rsidR="00782766" w:rsidRPr="003D37B4">
        <w:t>angeschlossen</w:t>
      </w:r>
      <w:r w:rsidRPr="003D37B4">
        <w:t xml:space="preserve"> </w:t>
      </w:r>
      <w:r w:rsidR="00C44899" w:rsidRPr="003D37B4">
        <w:t>und die Beratung wird zumeist von low</w:t>
      </w:r>
      <w:r w:rsidR="00067552">
        <w:t>-</w:t>
      </w:r>
      <w:r w:rsidR="00C44899" w:rsidRPr="00DA125E">
        <w:t xml:space="preserve"> vision-qualifizierten Orthoptist/innen, Optometrist/innen, Augenoptiker/innen oder auch von Beratungsstellen der Selbsthilfe angeboten. Für die Gewährleistung gesellschaftlicher </w:t>
      </w:r>
      <w:r w:rsidR="00431201" w:rsidRPr="00DA125E">
        <w:t>Teilhabe w</w:t>
      </w:r>
      <w:r w:rsidR="00C44899" w:rsidRPr="00DA125E">
        <w:t xml:space="preserve">äre </w:t>
      </w:r>
      <w:r w:rsidRPr="00DA125E">
        <w:t xml:space="preserve">in Deutschland </w:t>
      </w:r>
      <w:r w:rsidR="00C44899" w:rsidRPr="00DA125E">
        <w:t xml:space="preserve">jedoch </w:t>
      </w:r>
      <w:r w:rsidR="00431201" w:rsidRPr="00DA125E">
        <w:t xml:space="preserve">ein </w:t>
      </w:r>
      <w:r w:rsidRPr="00DA125E">
        <w:t>flächendeckenden</w:t>
      </w:r>
      <w:r w:rsidR="00C44899" w:rsidRPr="00DA125E">
        <w:t xml:space="preserve">s und bedarfsorientiertes Netz </w:t>
      </w:r>
      <w:r w:rsidRPr="003D37B4">
        <w:t xml:space="preserve">von </w:t>
      </w:r>
      <w:r w:rsidR="00C44899" w:rsidRPr="003D37B4">
        <w:t xml:space="preserve">qualifizierten </w:t>
      </w:r>
      <w:r w:rsidRPr="003D37B4">
        <w:t>Low-Vision-Beratungszentren</w:t>
      </w:r>
      <w:r w:rsidR="00431201" w:rsidRPr="003D37B4">
        <w:t xml:space="preserve"> in ambulanter und mobiler Form </w:t>
      </w:r>
      <w:r w:rsidR="00C44899" w:rsidRPr="003D37B4">
        <w:t>zu fordern.</w:t>
      </w:r>
    </w:p>
    <w:p w14:paraId="61535CF5" w14:textId="77777777" w:rsidR="00AD395D" w:rsidRDefault="00AD395D" w:rsidP="00AD395D">
      <w:pPr>
        <w:pStyle w:val="berschrift2"/>
      </w:pPr>
      <w:bookmarkStart w:id="4" w:name="_Toc330882004"/>
      <w:bookmarkStart w:id="5" w:name="_Toc330882560"/>
      <w:bookmarkStart w:id="6" w:name="_Toc330882800"/>
      <w:r>
        <w:t>Zielvorstellung und Konzeption</w:t>
      </w:r>
      <w:bookmarkEnd w:id="4"/>
      <w:bookmarkEnd w:id="5"/>
      <w:bookmarkEnd w:id="6"/>
    </w:p>
    <w:p w14:paraId="56221EEF" w14:textId="37A08C6F" w:rsidR="00AD395D" w:rsidRDefault="00AD395D" w:rsidP="00FD4046">
      <w:pPr>
        <w:pStyle w:val="02Flietext"/>
      </w:pPr>
      <w:r w:rsidRPr="005240FE">
        <w:t>Low</w:t>
      </w:r>
      <w:r w:rsidR="00DA125E">
        <w:t>-</w:t>
      </w:r>
      <w:r w:rsidRPr="005240FE">
        <w:t>Vision</w:t>
      </w:r>
      <w:r>
        <w:t>-</w:t>
      </w:r>
      <w:r w:rsidR="00A67178" w:rsidRPr="00DA125E">
        <w:t>Fachpersonen</w:t>
      </w:r>
      <w:r w:rsidR="00DA125E">
        <w:rPr>
          <w:rStyle w:val="Funotenzeichen"/>
        </w:rPr>
        <w:footnoteReference w:id="1"/>
      </w:r>
      <w:r w:rsidR="00A67178" w:rsidRPr="00601AAC">
        <w:t xml:space="preserve"> </w:t>
      </w:r>
      <w:r>
        <w:t xml:space="preserve">befassen sich mit der Einschätzung und Förderung des funktionalen Sehvermögens sowie der Beratung und Unterstützung von Menschen mit einer </w:t>
      </w:r>
      <w:r w:rsidR="00201EDE">
        <w:t>Sehbeeinträ</w:t>
      </w:r>
      <w:r w:rsidR="00A67178">
        <w:t>chtigung</w:t>
      </w:r>
      <w:r>
        <w:t>. Dabei können optische, elektronische und ergonomische Hilfen und Hilfsmittel, das Erlernen spezieller Sehstrategien sowie Veränderungen in der Gestaltung der Umwelt ihre Anwendung finden.</w:t>
      </w:r>
    </w:p>
    <w:p w14:paraId="7609A14B" w14:textId="570B7763" w:rsidR="00AD395D" w:rsidRDefault="00AD395D" w:rsidP="0005410C">
      <w:pPr>
        <w:pStyle w:val="02Flietext"/>
        <w:spacing w:line="240" w:lineRule="auto"/>
      </w:pPr>
      <w:r w:rsidRPr="005240FE">
        <w:t>Low</w:t>
      </w:r>
      <w:r w:rsidR="00DA125E">
        <w:t>-</w:t>
      </w:r>
      <w:r w:rsidRPr="005240FE">
        <w:t>Vision</w:t>
      </w:r>
      <w:r>
        <w:t>-</w:t>
      </w:r>
      <w:r w:rsidR="00A67178" w:rsidRPr="003D37B4">
        <w:t>Fachpersonen</w:t>
      </w:r>
      <w:r w:rsidR="00601AAC" w:rsidRPr="003D37B4">
        <w:t xml:space="preserve"> </w:t>
      </w:r>
      <w:r>
        <w:t>arbeiten eng zusammen mit:</w:t>
      </w:r>
    </w:p>
    <w:p w14:paraId="6A7DBEB8" w14:textId="77777777" w:rsidR="00AD395D" w:rsidRDefault="00AD395D" w:rsidP="003D37B4">
      <w:pPr>
        <w:pStyle w:val="Formatvorlage02FlietextLinks075cmHngend05cm"/>
        <w:spacing w:line="240" w:lineRule="auto"/>
      </w:pPr>
      <w:r>
        <w:t xml:space="preserve">– </w:t>
      </w:r>
      <w:r>
        <w:tab/>
        <w:t>Frühförder/innen</w:t>
      </w:r>
    </w:p>
    <w:p w14:paraId="750A7813" w14:textId="77777777" w:rsidR="00AD395D" w:rsidRDefault="00AD395D" w:rsidP="003D37B4">
      <w:pPr>
        <w:pStyle w:val="Formatvorlage02FlietextLinks075cmHngend05cm"/>
        <w:spacing w:line="240" w:lineRule="auto"/>
      </w:pPr>
      <w:r>
        <w:t xml:space="preserve">– </w:t>
      </w:r>
      <w:r>
        <w:tab/>
        <w:t>Lehrer/innen</w:t>
      </w:r>
    </w:p>
    <w:p w14:paraId="2DAD6BF0" w14:textId="283C2D48" w:rsidR="00AD395D" w:rsidRDefault="00AD395D" w:rsidP="003D37B4">
      <w:pPr>
        <w:pStyle w:val="Formatvorlage02FlietextLinks075cmHngend05cm"/>
        <w:spacing w:line="240" w:lineRule="auto"/>
      </w:pPr>
      <w:r>
        <w:t xml:space="preserve">– </w:t>
      </w:r>
      <w:r>
        <w:tab/>
      </w:r>
      <w:r w:rsidR="00496104">
        <w:t>Angehörigen von Menschen mit einer Sehbeeinträchtigung</w:t>
      </w:r>
    </w:p>
    <w:p w14:paraId="7112938D" w14:textId="77777777" w:rsidR="00AD395D" w:rsidRDefault="00AD395D" w:rsidP="003D37B4">
      <w:pPr>
        <w:pStyle w:val="Formatvorlage02FlietextLinks075cmHngend05cm"/>
        <w:spacing w:line="240" w:lineRule="auto"/>
      </w:pPr>
      <w:r>
        <w:t xml:space="preserve">– </w:t>
      </w:r>
      <w:r>
        <w:tab/>
        <w:t>Orthoptist/innen</w:t>
      </w:r>
    </w:p>
    <w:p w14:paraId="70B37F5B" w14:textId="77777777" w:rsidR="00AD395D" w:rsidRDefault="00AD395D" w:rsidP="003D37B4">
      <w:pPr>
        <w:pStyle w:val="Formatvorlage02FlietextLinks075cmHngend05cm"/>
        <w:spacing w:line="240" w:lineRule="auto"/>
      </w:pPr>
      <w:r>
        <w:t xml:space="preserve">– </w:t>
      </w:r>
      <w:r>
        <w:tab/>
        <w:t>Augenärzt/innen</w:t>
      </w:r>
    </w:p>
    <w:p w14:paraId="3129BF12" w14:textId="77777777" w:rsidR="00AD395D" w:rsidRDefault="00AD395D" w:rsidP="003D37B4">
      <w:pPr>
        <w:pStyle w:val="Formatvorlage02FlietextLinks075cmHngend05cm"/>
        <w:spacing w:line="240" w:lineRule="auto"/>
      </w:pPr>
      <w:r>
        <w:t xml:space="preserve">– </w:t>
      </w:r>
      <w:r>
        <w:tab/>
        <w:t xml:space="preserve"> (Neuro-)Psycholog/innen</w:t>
      </w:r>
    </w:p>
    <w:p w14:paraId="2993D681" w14:textId="77777777" w:rsidR="00AD395D" w:rsidRDefault="00AD395D" w:rsidP="003D37B4">
      <w:pPr>
        <w:pStyle w:val="Formatvorlage02FlietextLinks075cmHngend05cm"/>
        <w:spacing w:line="240" w:lineRule="auto"/>
      </w:pPr>
      <w:r>
        <w:t xml:space="preserve">– </w:t>
      </w:r>
      <w:r>
        <w:tab/>
        <w:t>Augenoptiker/innen</w:t>
      </w:r>
    </w:p>
    <w:p w14:paraId="01560892" w14:textId="27A1DC54" w:rsidR="00496104" w:rsidRDefault="00AD395D" w:rsidP="003D37B4">
      <w:pPr>
        <w:pStyle w:val="Formatvorlage02FlietextLinks075cmHngend05cm"/>
        <w:numPr>
          <w:ilvl w:val="0"/>
          <w:numId w:val="2"/>
        </w:numPr>
        <w:spacing w:line="240" w:lineRule="auto"/>
      </w:pPr>
      <w:r>
        <w:t xml:space="preserve">Rehabilitationsfachkräften </w:t>
      </w:r>
    </w:p>
    <w:p w14:paraId="2798D8D9" w14:textId="212FBECC" w:rsidR="00AD395D" w:rsidRDefault="00496104" w:rsidP="003D37B4">
      <w:pPr>
        <w:pStyle w:val="Formatvorlage02FlietextLinks075cmHngend05cm"/>
        <w:numPr>
          <w:ilvl w:val="0"/>
          <w:numId w:val="2"/>
        </w:numPr>
        <w:spacing w:line="240" w:lineRule="auto"/>
      </w:pPr>
      <w:r>
        <w:t xml:space="preserve">Selbsthilfeorganisationen </w:t>
      </w:r>
      <w:r w:rsidR="00AD395D">
        <w:t>sowie</w:t>
      </w:r>
    </w:p>
    <w:p w14:paraId="2DC3C956" w14:textId="77777777" w:rsidR="00AD395D" w:rsidRDefault="00AD395D" w:rsidP="003D37B4">
      <w:pPr>
        <w:pStyle w:val="Formatvorlage02FlietextLinks075cmHngend05cm"/>
        <w:spacing w:line="240" w:lineRule="auto"/>
      </w:pPr>
      <w:r>
        <w:t xml:space="preserve">– </w:t>
      </w:r>
      <w:r>
        <w:tab/>
        <w:t>allen an diesem Arbeitsfeld interessierten Menschen.</w:t>
      </w:r>
    </w:p>
    <w:p w14:paraId="4B0FAD2D" w14:textId="078E4CB3" w:rsidR="00AD395D" w:rsidRDefault="00AD395D" w:rsidP="003D37B4">
      <w:pPr>
        <w:pStyle w:val="02Flietext"/>
        <w:spacing w:line="276" w:lineRule="auto"/>
      </w:pPr>
      <w:r>
        <w:lastRenderedPageBreak/>
        <w:t xml:space="preserve">Per definitionem arbeiten in der </w:t>
      </w:r>
      <w:r w:rsidRPr="005240FE">
        <w:t>Low-Vision</w:t>
      </w:r>
      <w:r>
        <w:t xml:space="preserve">-Versorgung Fachleute aus verschiedenen Bereichen zusammen mit dem Ziel, nicht nur zwischen blind und sehend zu unterscheiden, sondern auf die dazwischen liegenden Abstufungen des Sehvermögens einzugehen, die Schwierigkeiten, die sich für den einzelnen ergeben können, zu erkennen und mit der betroffenen Person gemeinsam mögliche Hilfen und Lösungen zu erarbeiten, mit denen die Person ihr </w:t>
      </w:r>
      <w:r w:rsidRPr="003D37B4">
        <w:t>vorhandenes</w:t>
      </w:r>
      <w:r w:rsidR="00201EDE" w:rsidRPr="00601AAC">
        <w:t xml:space="preserve"> </w:t>
      </w:r>
      <w:r>
        <w:t>Sehvermögen optimal nutzen kann.</w:t>
      </w:r>
    </w:p>
    <w:p w14:paraId="33737562" w14:textId="77777777" w:rsidR="00AD395D" w:rsidRDefault="00AD395D" w:rsidP="0005410C">
      <w:pPr>
        <w:pStyle w:val="02Flietext"/>
      </w:pPr>
      <w:r>
        <w:t xml:space="preserve">Eine </w:t>
      </w:r>
      <w:r w:rsidRPr="005240FE">
        <w:t>Low-Vision</w:t>
      </w:r>
      <w:r>
        <w:t>-Beratung und -Förderung beinhaltet folgende Arbeitsschritte:</w:t>
      </w:r>
    </w:p>
    <w:p w14:paraId="6F6B08DD" w14:textId="6C90C730" w:rsidR="00AD395D" w:rsidRDefault="00AD395D" w:rsidP="003D37B4">
      <w:pPr>
        <w:pStyle w:val="Formatvorlage02FlietextLinks075cmHngend05cm"/>
        <w:spacing w:line="240" w:lineRule="auto"/>
      </w:pPr>
      <w:r>
        <w:t xml:space="preserve">– </w:t>
      </w:r>
      <w:r>
        <w:tab/>
        <w:t xml:space="preserve">Ermittlung des </w:t>
      </w:r>
      <w:r w:rsidR="00827A7A">
        <w:t xml:space="preserve">Habilitations- bzw. </w:t>
      </w:r>
      <w:r>
        <w:t>Rehabilitationsziels</w:t>
      </w:r>
    </w:p>
    <w:p w14:paraId="7840056F" w14:textId="79211BC2" w:rsidR="00AD395D" w:rsidRDefault="00AD395D" w:rsidP="003D37B4">
      <w:pPr>
        <w:pStyle w:val="Formatvorlage02FlietextLinks075cmHngend05cm"/>
        <w:spacing w:line="240" w:lineRule="auto"/>
      </w:pPr>
      <w:r>
        <w:t xml:space="preserve">– </w:t>
      </w:r>
      <w:r>
        <w:tab/>
        <w:t xml:space="preserve">Erfassung der </w:t>
      </w:r>
      <w:r w:rsidR="00201EDE">
        <w:t xml:space="preserve">Sehbeeinträchtigung </w:t>
      </w:r>
      <w:r>
        <w:t>sowie Informationen über deren Verlauf und Ursache</w:t>
      </w:r>
    </w:p>
    <w:p w14:paraId="4B1D7CF8" w14:textId="77777777" w:rsidR="00AD395D" w:rsidRDefault="00AD395D" w:rsidP="003D37B4">
      <w:pPr>
        <w:pStyle w:val="Formatvorlage02FlietextLinks075cmHngend05cm"/>
        <w:spacing w:line="240" w:lineRule="auto"/>
      </w:pPr>
      <w:r>
        <w:t xml:space="preserve">– </w:t>
      </w:r>
      <w:r>
        <w:tab/>
        <w:t>Analyse des Funktionsverlustes bzw. der Art und Weise des funktionalen Sehens</w:t>
      </w:r>
    </w:p>
    <w:p w14:paraId="4550037F" w14:textId="77777777" w:rsidR="00AD395D" w:rsidRDefault="00AD395D" w:rsidP="003D37B4">
      <w:pPr>
        <w:pStyle w:val="Formatvorlage02FlietextLinks075cmHngend05cm"/>
        <w:spacing w:line="240" w:lineRule="auto"/>
      </w:pPr>
      <w:r>
        <w:t xml:space="preserve">– </w:t>
      </w:r>
      <w:r>
        <w:tab/>
        <w:t>Anpassung vergrößernder Sehhilfen (optische, elektronische und ergonomische)</w:t>
      </w:r>
    </w:p>
    <w:p w14:paraId="29A2EAF7" w14:textId="77777777" w:rsidR="00AD395D" w:rsidRDefault="00AD395D" w:rsidP="003D37B4">
      <w:pPr>
        <w:pStyle w:val="Formatvorlage02FlietextLinks075cmHngend05cm"/>
        <w:spacing w:line="240" w:lineRule="auto"/>
      </w:pPr>
      <w:r>
        <w:t xml:space="preserve">– </w:t>
      </w:r>
      <w:r>
        <w:tab/>
        <w:t>Wiederherstellung der Lesefähigkeit</w:t>
      </w:r>
    </w:p>
    <w:p w14:paraId="6A1CD8AD" w14:textId="77777777" w:rsidR="00AD395D" w:rsidRDefault="00AD395D" w:rsidP="003D37B4">
      <w:pPr>
        <w:pStyle w:val="Formatvorlage02FlietextLinks075cmHngend05cm"/>
        <w:spacing w:line="240" w:lineRule="auto"/>
      </w:pPr>
      <w:r>
        <w:t xml:space="preserve">– </w:t>
      </w:r>
      <w:r>
        <w:tab/>
        <w:t>Verbesserung im dinglich-räumlichen Umfeld (Licht, Farbe, Kontrast).</w:t>
      </w:r>
    </w:p>
    <w:p w14:paraId="6FB1419B" w14:textId="0632CC2E" w:rsidR="00AD395D" w:rsidRDefault="00AD395D" w:rsidP="0005410C">
      <w:pPr>
        <w:pStyle w:val="02Flietext"/>
      </w:pPr>
      <w:r>
        <w:t xml:space="preserve">Eine optimale Förderung des Sehvermögens kann nur </w:t>
      </w:r>
      <w:r w:rsidR="00CA180F">
        <w:t xml:space="preserve">interdisziplinär </w:t>
      </w:r>
      <w:r>
        <w:t xml:space="preserve">gelingen in Verbindung mit Frühförderung, Sonderpädagogik, schulischer und beruflicher </w:t>
      </w:r>
      <w:r w:rsidR="00201EDE">
        <w:t>Inklusion</w:t>
      </w:r>
      <w:r>
        <w:t>, Orientierung und Mobilität (O&amp;M), Lebenspraktischen Fähigkeiten (LPF). Zum Aufgabenfeld gehören auch:</w:t>
      </w:r>
    </w:p>
    <w:p w14:paraId="7E2ED290" w14:textId="77777777" w:rsidR="00AD395D" w:rsidRDefault="00AD395D" w:rsidP="003D37B4">
      <w:pPr>
        <w:pStyle w:val="Formatvorlage02FlietextLinks075cmHngend05cm"/>
        <w:spacing w:line="240" w:lineRule="auto"/>
      </w:pPr>
      <w:r>
        <w:t xml:space="preserve">– </w:t>
      </w:r>
      <w:r>
        <w:tab/>
        <w:t>Rehabilitation im Alter</w:t>
      </w:r>
    </w:p>
    <w:p w14:paraId="6550D6DF" w14:textId="77777777" w:rsidR="00AD395D" w:rsidRDefault="00AD395D" w:rsidP="003D37B4">
      <w:pPr>
        <w:pStyle w:val="Formatvorlage02FlietextLinks075cmHngend05cm"/>
        <w:spacing w:line="240" w:lineRule="auto"/>
      </w:pPr>
      <w:r>
        <w:t xml:space="preserve">– </w:t>
      </w:r>
      <w:r>
        <w:tab/>
        <w:t>Unterstützung im sozialen Umfeld und psychosoziale Beratungsangebote</w:t>
      </w:r>
    </w:p>
    <w:p w14:paraId="09366EB5" w14:textId="65CFA6FF" w:rsidR="00827A7A" w:rsidRDefault="00AD395D" w:rsidP="003D37B4">
      <w:pPr>
        <w:pStyle w:val="Formatvorlage02FlietextLinks075cmHngend05cm"/>
        <w:numPr>
          <w:ilvl w:val="0"/>
          <w:numId w:val="1"/>
        </w:numPr>
        <w:spacing w:line="240" w:lineRule="auto"/>
      </w:pPr>
      <w:r>
        <w:t>Kontakt bzw. Kooperation mit Krankenkassen, Ärzten, Augenoptikern, medizinischen Fachdisziplinen, Pädagogen, Selbsthilfeverbänden</w:t>
      </w:r>
    </w:p>
    <w:p w14:paraId="69500CE4" w14:textId="5858ECDE" w:rsidR="00AD395D" w:rsidRPr="00EF2993" w:rsidRDefault="00827A7A" w:rsidP="003D37B4">
      <w:pPr>
        <w:pStyle w:val="Formatvorlage02FlietextLinks075cmHngend05cm"/>
        <w:numPr>
          <w:ilvl w:val="0"/>
          <w:numId w:val="1"/>
        </w:numPr>
        <w:spacing w:line="240" w:lineRule="auto"/>
      </w:pPr>
      <w:r w:rsidRPr="00EF2993">
        <w:t>rechtliche Dienstleistungen</w:t>
      </w:r>
      <w:r w:rsidR="003D37B4" w:rsidRPr="00EF2993">
        <w:t>.</w:t>
      </w:r>
    </w:p>
    <w:p w14:paraId="3F0B658A" w14:textId="2E3C4E09" w:rsidR="00AD395D" w:rsidRDefault="00AD395D" w:rsidP="0005410C">
      <w:pPr>
        <w:pStyle w:val="02Flietext"/>
      </w:pPr>
      <w:r>
        <w:t xml:space="preserve">Damit wird deutlich, dass </w:t>
      </w:r>
      <w:r w:rsidRPr="005240FE">
        <w:t>Low</w:t>
      </w:r>
      <w:r w:rsidR="00DA125E">
        <w:t xml:space="preserve"> </w:t>
      </w:r>
      <w:r w:rsidRPr="005240FE">
        <w:t>Vision</w:t>
      </w:r>
      <w:r>
        <w:t xml:space="preserve"> eine ganzheitliche Grundhaltung erfordert, die die betroffene Person mit einer </w:t>
      </w:r>
      <w:r w:rsidR="0010755D">
        <w:t>Beeintr</w:t>
      </w:r>
      <w:r w:rsidR="00201EDE">
        <w:t>ä</w:t>
      </w:r>
      <w:r w:rsidR="0010755D">
        <w:t>chtigung des Sehens</w:t>
      </w:r>
      <w:r w:rsidR="00201EDE">
        <w:t xml:space="preserve"> </w:t>
      </w:r>
      <w:r>
        <w:t>in all ihren Lebensbezügen berücksichtigt.</w:t>
      </w:r>
    </w:p>
    <w:p w14:paraId="33432963" w14:textId="77777777" w:rsidR="00AD395D" w:rsidRDefault="00AD395D" w:rsidP="00AD395D">
      <w:pPr>
        <w:pStyle w:val="berschrift2"/>
      </w:pPr>
      <w:bookmarkStart w:id="7" w:name="_Toc330882005"/>
      <w:bookmarkStart w:id="8" w:name="_Toc330882561"/>
      <w:bookmarkStart w:id="9" w:name="_Toc330882801"/>
      <w:r>
        <w:t>Umsetzung und Zukunftsperspektiven</w:t>
      </w:r>
      <w:bookmarkEnd w:id="7"/>
      <w:bookmarkEnd w:id="8"/>
      <w:bookmarkEnd w:id="9"/>
    </w:p>
    <w:p w14:paraId="32979508" w14:textId="5A8A7BD8" w:rsidR="00AD395D" w:rsidRDefault="00AD395D" w:rsidP="00FD4046">
      <w:pPr>
        <w:pStyle w:val="02Flietext"/>
      </w:pPr>
      <w:r>
        <w:t xml:space="preserve">Die </w:t>
      </w:r>
      <w:r w:rsidRPr="005240FE">
        <w:t>Low-Vision</w:t>
      </w:r>
      <w:r>
        <w:t>-Versorgung und -</w:t>
      </w:r>
      <w:r w:rsidR="00601AAC">
        <w:t xml:space="preserve">Unterstützung </w:t>
      </w:r>
      <w:r>
        <w:t xml:space="preserve">verlangt eine kompetente </w:t>
      </w:r>
      <w:r>
        <w:lastRenderedPageBreak/>
        <w:t>sowie individuelle und bedarfsgerechte Herangehensweise. Dabei ist es ein Anliegen, neben der Anpassung von und Versorgung mit Hilfsmitteln auch psycho-soziale Beratung anzubieten und in die pädagogische Förderung und Rehabilitation zu integrieren.</w:t>
      </w:r>
    </w:p>
    <w:p w14:paraId="7C3D141E" w14:textId="23F94929" w:rsidR="00AD395D" w:rsidRDefault="00AD395D" w:rsidP="0005410C">
      <w:pPr>
        <w:pStyle w:val="02Flietext"/>
      </w:pPr>
      <w:r>
        <w:t>So wäre zu fordern, dass bei allen Säuglingen und Kleinkindern ein umfassendes Seh</w:t>
      </w:r>
      <w:r w:rsidRPr="005240FE">
        <w:t>screening</w:t>
      </w:r>
      <w:r>
        <w:t xml:space="preserve"> zur frühzeitigen Erkennung von okul</w:t>
      </w:r>
      <w:r w:rsidR="00FA21A9">
        <w:t>ä</w:t>
      </w:r>
      <w:r>
        <w:t xml:space="preserve">r und auch cerebral bedingten </w:t>
      </w:r>
      <w:r w:rsidR="00E51787">
        <w:t>Schädigungen</w:t>
      </w:r>
      <w:r w:rsidR="00601AAC">
        <w:t xml:space="preserve"> </w:t>
      </w:r>
      <w:r>
        <w:t xml:space="preserve">durchgeführt würde. Des Weiteren sollte für Kinder mit einer </w:t>
      </w:r>
      <w:r w:rsidR="00E51787">
        <w:t xml:space="preserve">Sehbeeinträchtigung </w:t>
      </w:r>
      <w:r>
        <w:t xml:space="preserve">- vom Säuglings- bis zum Jugendalter - eine regelmäßige </w:t>
      </w:r>
      <w:r w:rsidRPr="005240FE">
        <w:t>Low-Vision</w:t>
      </w:r>
      <w:r>
        <w:t>-Beratung etabliert werden. Auch für Erwachsene mit</w:t>
      </w:r>
      <w:r w:rsidR="00FD1357">
        <w:t xml:space="preserve"> </w:t>
      </w:r>
      <w:r w:rsidR="00E51787">
        <w:t>Beeinträchtigung</w:t>
      </w:r>
      <w:r w:rsidR="00FD1357">
        <w:t>en</w:t>
      </w:r>
      <w:r w:rsidR="00E51787">
        <w:t xml:space="preserve"> des Sehens </w:t>
      </w:r>
      <w:r>
        <w:t xml:space="preserve">müssen Strukturen aufgebaut werden, die flächendeckend eine niedrigschwellige und qualifizierte </w:t>
      </w:r>
      <w:r w:rsidRPr="005240FE">
        <w:t>Low-Vision</w:t>
      </w:r>
      <w:r>
        <w:t xml:space="preserve">-Beratung und -Versorgung garantieren. Dies muss sowohl für Erwachsene im erwerbstätigen Alter wie auch für die größer werdende Gruppe von </w:t>
      </w:r>
      <w:r w:rsidR="00E51787">
        <w:t xml:space="preserve">Seniorinnen und Senioren </w:t>
      </w:r>
      <w:r>
        <w:t>mit spät erworbene</w:t>
      </w:r>
      <w:r w:rsidR="00FD1357">
        <w:t>n</w:t>
      </w:r>
      <w:r>
        <w:t xml:space="preserve"> </w:t>
      </w:r>
      <w:r w:rsidR="00E51787">
        <w:t>Sehbeeinträ</w:t>
      </w:r>
      <w:r w:rsidR="00A67178">
        <w:t>chtigung</w:t>
      </w:r>
      <w:r w:rsidR="00FD1357">
        <w:t>en</w:t>
      </w:r>
      <w:r w:rsidR="00A67178">
        <w:t xml:space="preserve"> </w:t>
      </w:r>
      <w:r>
        <w:t>erreicht werden.</w:t>
      </w:r>
    </w:p>
    <w:p w14:paraId="4E39B64A" w14:textId="04F450A5" w:rsidR="00AD395D" w:rsidRDefault="00AD395D">
      <w:pPr>
        <w:pStyle w:val="02Flietext"/>
      </w:pPr>
      <w:r>
        <w:t>In Deutschland ist</w:t>
      </w:r>
      <w:r w:rsidR="00E0213F">
        <w:t xml:space="preserve"> das </w:t>
      </w:r>
      <w:r w:rsidRPr="005240FE">
        <w:t>Low-Vision</w:t>
      </w:r>
      <w:r>
        <w:t>-Vers</w:t>
      </w:r>
      <w:r w:rsidR="00E0213F">
        <w:t xml:space="preserve">tändnis </w:t>
      </w:r>
      <w:r w:rsidR="00A67178">
        <w:t>vor allem im Erwachsenen- und Senior/innenbereich</w:t>
      </w:r>
      <w:r>
        <w:t xml:space="preserve"> noch </w:t>
      </w:r>
      <w:r w:rsidR="00E0213F">
        <w:t xml:space="preserve">immer </w:t>
      </w:r>
      <w:r w:rsidR="00FD1357">
        <w:t>vorrangig auf die Versorgung mit Hilfsmitteln fokussiert</w:t>
      </w:r>
      <w:r w:rsidRPr="00FD4046">
        <w:t>.</w:t>
      </w:r>
      <w:r>
        <w:t xml:space="preserve"> Besser jedoch wären Finanzierungsmodelle, die </w:t>
      </w:r>
      <w:r w:rsidR="00FD1357">
        <w:t xml:space="preserve">unter Einbeziehung aller Versorgungsprozesse </w:t>
      </w:r>
      <w:r>
        <w:t xml:space="preserve">auf die individuelle </w:t>
      </w:r>
      <w:r w:rsidR="005B66BA">
        <w:t xml:space="preserve">bzw. bedarfsorientierte </w:t>
      </w:r>
      <w:r>
        <w:t xml:space="preserve">Beratung </w:t>
      </w:r>
      <w:r w:rsidR="00FD1357">
        <w:t xml:space="preserve">der jeweiligen Person </w:t>
      </w:r>
      <w:r>
        <w:t xml:space="preserve">abzielen. Hierbei sind neben der Frage der optischen Versorgung oder der habililtativen bzw. rehabilitativen Bedarfe sowohl (Hilfsmitttel-)Trainings- und Schulungsmöglichkeiten bei </w:t>
      </w:r>
      <w:r w:rsidRPr="005240FE">
        <w:t>Low-Vision</w:t>
      </w:r>
      <w:r>
        <w:t xml:space="preserve"> als auch</w:t>
      </w:r>
      <w:r w:rsidR="00FD1357">
        <w:t xml:space="preserve"> z. B.</w:t>
      </w:r>
      <w:r>
        <w:t xml:space="preserve"> psycho-soziale Fragestellungen mit einzubeziehen.</w:t>
      </w:r>
    </w:p>
    <w:p w14:paraId="1713043C" w14:textId="127C806B" w:rsidR="00AD395D" w:rsidRDefault="00AD395D">
      <w:pPr>
        <w:pStyle w:val="02Flietext"/>
      </w:pPr>
      <w:r>
        <w:t xml:space="preserve">Des Weiteren muss in der Aus- und Weiterbildung für eine systematische Wissensvermittlung und Qualitätssicherung gesorgt werden, so dass eine hohe Fachlichkeit in der </w:t>
      </w:r>
      <w:r w:rsidRPr="005240FE">
        <w:t>Low-Vision</w:t>
      </w:r>
      <w:r>
        <w:t xml:space="preserve">-Arbeit gewährleistet ist. Im Mindesten wäre eine umfassende Aus- und Weiterbildung für jeden im </w:t>
      </w:r>
      <w:r w:rsidRPr="005240FE">
        <w:t>Low-Vision</w:t>
      </w:r>
      <w:r>
        <w:t xml:space="preserve">-Bereich Tätigen zu fordern. </w:t>
      </w:r>
      <w:r w:rsidR="00E0213F">
        <w:t>Wünschenswert</w:t>
      </w:r>
      <w:r>
        <w:t xml:space="preserve"> wäre die Etablierung eines eigenständigen Berufsbildes </w:t>
      </w:r>
      <w:r w:rsidR="00A67178">
        <w:t>zur Low</w:t>
      </w:r>
      <w:r w:rsidR="00067552">
        <w:t>-</w:t>
      </w:r>
      <w:r w:rsidR="00A67178">
        <w:t>Vision-Fachperson</w:t>
      </w:r>
      <w:r w:rsidR="00B735FD">
        <w:t>.</w:t>
      </w:r>
      <w:r w:rsidR="00A67178">
        <w:t xml:space="preserve"> </w:t>
      </w:r>
    </w:p>
    <w:p w14:paraId="4F9632FC" w14:textId="77777777" w:rsidR="00AD395D" w:rsidRDefault="00AD395D">
      <w:pPr>
        <w:pStyle w:val="02Flietext"/>
      </w:pPr>
      <w:r>
        <w:t xml:space="preserve">Über die Sicherstellung der </w:t>
      </w:r>
      <w:r w:rsidRPr="005240FE">
        <w:t>Low-Vision</w:t>
      </w:r>
      <w:r>
        <w:t xml:space="preserve">-Beratung hinaus ist es notwendig, die Öffentlichkeit über entsprechende Beratungsstellen und ihre Leistungen zu informieren. Sich hier für ein verbessertes Angebot zu engagieren und für eine wachsende Transparenz zu sorgen ist auch künftig die Aufgabe der </w:t>
      </w:r>
      <w:r w:rsidRPr="005240FE">
        <w:t>Low-Vision</w:t>
      </w:r>
      <w:r>
        <w:t>-Arbeit.</w:t>
      </w:r>
    </w:p>
    <w:p w14:paraId="502EC86F" w14:textId="41B1E135" w:rsidR="00AD395D" w:rsidRDefault="00AD395D">
      <w:pPr>
        <w:pStyle w:val="02Flietext"/>
      </w:pPr>
      <w:r>
        <w:t xml:space="preserve">Dazu gehört eine selbstverständliche Bereitschaft zu einer inter- und transdisziplinären Zusammenarbeit. Um dies zu verwirklichen, ist nach wie vor der Ausbau eines Netzwerks von verschiedenen miteinander </w:t>
      </w:r>
      <w:r>
        <w:lastRenderedPageBreak/>
        <w:t>kooperierenden Fachdisziplinen aus den Bereichen Pädagog</w:t>
      </w:r>
      <w:r w:rsidR="00E83471">
        <w:t xml:space="preserve">ik, Medizin, Augenoptik, </w:t>
      </w:r>
      <w:r w:rsidR="00067552">
        <w:br/>
      </w:r>
      <w:r w:rsidR="00E83471">
        <w:t>(Neuro</w:t>
      </w:r>
      <w:r w:rsidR="00067552">
        <w:t>-</w:t>
      </w:r>
      <w:r>
        <w:t>)Psychologie und Rehabilitation anzustreben.</w:t>
      </w:r>
    </w:p>
    <w:p w14:paraId="2DCC30D4" w14:textId="77777777" w:rsidR="00AD395D" w:rsidRDefault="00AD395D">
      <w:pPr>
        <w:pStyle w:val="02Flietext"/>
      </w:pPr>
      <w:r>
        <w:t>Ebenfalls erforderlich ist ein stetes Bemühen um die Implementation neuer Forschungsergebnisse in die aktuelle Diskussion mit dem Ziel der Weiterentwicklung bestehender Konzepte; ebenso auch die Organisation und Durchführung von Vorträgen, Fortbildungen und Tagungen.</w:t>
      </w:r>
    </w:p>
    <w:p w14:paraId="0D79FB14" w14:textId="77777777" w:rsidR="00AD395D" w:rsidRDefault="00AD395D">
      <w:pPr>
        <w:pStyle w:val="02Flietext"/>
      </w:pPr>
      <w:r>
        <w:t xml:space="preserve">Für die AG </w:t>
      </w:r>
      <w:r w:rsidRPr="005240FE">
        <w:t>Low-Vision</w:t>
      </w:r>
    </w:p>
    <w:p w14:paraId="519FC271" w14:textId="77777777" w:rsidR="00A672F8" w:rsidRDefault="00A672F8">
      <w:pPr>
        <w:pStyle w:val="02Flietext"/>
      </w:pPr>
    </w:p>
    <w:p w14:paraId="2B69B2B1" w14:textId="36720C21" w:rsidR="004E3D20" w:rsidRPr="003D37B4" w:rsidRDefault="00E83471">
      <w:pPr>
        <w:pStyle w:val="Unterschriften"/>
        <w:ind w:left="0"/>
        <w:jc w:val="right"/>
        <w:rPr>
          <w:b/>
        </w:rPr>
      </w:pPr>
      <w:r w:rsidRPr="003D37B4">
        <w:rPr>
          <w:b/>
        </w:rPr>
        <w:t>Kirsten Wahren-Krüger</w:t>
      </w:r>
      <w:r w:rsidR="00AD395D" w:rsidRPr="003D37B4">
        <w:rPr>
          <w:b/>
        </w:rPr>
        <w:br/>
        <w:t>Frank Laemers</w:t>
      </w:r>
    </w:p>
    <w:sectPr w:rsidR="004E3D20" w:rsidRPr="003D37B4" w:rsidSect="004E3D20">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E3ECE" w16cex:dateUtc="2020-02-24T11:23:00Z"/>
  <w16cex:commentExtensible w16cex:durableId="21FE3F30" w16cex:dateUtc="2020-02-24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025EB" w14:textId="77777777" w:rsidR="00F81B26" w:rsidRDefault="00F81B26" w:rsidP="00DA125E">
      <w:r>
        <w:separator/>
      </w:r>
    </w:p>
  </w:endnote>
  <w:endnote w:type="continuationSeparator" w:id="0">
    <w:p w14:paraId="26D9233C" w14:textId="77777777" w:rsidR="00F81B26" w:rsidRDefault="00F81B26" w:rsidP="00DA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582E3" w14:textId="77777777" w:rsidR="00F81B26" w:rsidRDefault="00F81B26" w:rsidP="00DA125E">
      <w:r>
        <w:separator/>
      </w:r>
    </w:p>
  </w:footnote>
  <w:footnote w:type="continuationSeparator" w:id="0">
    <w:p w14:paraId="5F28A3B5" w14:textId="77777777" w:rsidR="00F81B26" w:rsidRDefault="00F81B26" w:rsidP="00DA125E">
      <w:r>
        <w:continuationSeparator/>
      </w:r>
    </w:p>
  </w:footnote>
  <w:footnote w:id="1">
    <w:p w14:paraId="089D4643" w14:textId="32D8DBB6" w:rsidR="003D37B4" w:rsidRDefault="003D37B4">
      <w:pPr>
        <w:pStyle w:val="Funotentext"/>
      </w:pPr>
      <w:r>
        <w:rPr>
          <w:rStyle w:val="Funotenzeichen"/>
        </w:rPr>
        <w:footnoteRef/>
      </w:r>
      <w:r>
        <w:t xml:space="preserve"> </w:t>
      </w:r>
      <w:r w:rsidRPr="003D37B4">
        <w:rPr>
          <w:rFonts w:ascii="Univers" w:hAnsi="Univers"/>
          <w:sz w:val="20"/>
          <w:szCs w:val="20"/>
        </w:rPr>
        <w:t>Berufsbezeichnung aus der Schweiz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0AE5"/>
    <w:multiLevelType w:val="hybridMultilevel"/>
    <w:tmpl w:val="D8E0847C"/>
    <w:lvl w:ilvl="0" w:tplc="E71EF61A">
      <w:numFmt w:val="bullet"/>
      <w:lvlText w:val="–"/>
      <w:lvlJc w:val="left"/>
      <w:pPr>
        <w:ind w:left="785" w:hanging="360"/>
      </w:pPr>
      <w:rPr>
        <w:rFonts w:ascii="Univers" w:eastAsia="Times New Roman" w:hAnsi="Univers"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43E14B66"/>
    <w:multiLevelType w:val="hybridMultilevel"/>
    <w:tmpl w:val="734CC6D4"/>
    <w:lvl w:ilvl="0" w:tplc="EA0A2E60">
      <w:numFmt w:val="bullet"/>
      <w:lvlText w:val="–"/>
      <w:lvlJc w:val="left"/>
      <w:pPr>
        <w:ind w:left="785" w:hanging="360"/>
      </w:pPr>
      <w:rPr>
        <w:rFonts w:ascii="Univers" w:eastAsia="Times New Roman" w:hAnsi="Univers" w:cs="Times New Roman"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insDel="0" w:formatting="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5D"/>
    <w:rsid w:val="000141B0"/>
    <w:rsid w:val="0005410C"/>
    <w:rsid w:val="00067552"/>
    <w:rsid w:val="0010755D"/>
    <w:rsid w:val="001F7E1F"/>
    <w:rsid w:val="00201EDE"/>
    <w:rsid w:val="002C58E5"/>
    <w:rsid w:val="00317DF3"/>
    <w:rsid w:val="003D37B4"/>
    <w:rsid w:val="00423E4E"/>
    <w:rsid w:val="00431201"/>
    <w:rsid w:val="004438B3"/>
    <w:rsid w:val="00496104"/>
    <w:rsid w:val="004E3D20"/>
    <w:rsid w:val="005A3694"/>
    <w:rsid w:val="005B66BA"/>
    <w:rsid w:val="00601AAC"/>
    <w:rsid w:val="006B2FE9"/>
    <w:rsid w:val="00782766"/>
    <w:rsid w:val="008218FD"/>
    <w:rsid w:val="00827A7A"/>
    <w:rsid w:val="008478E8"/>
    <w:rsid w:val="00857BB1"/>
    <w:rsid w:val="00A67178"/>
    <w:rsid w:val="00A672F8"/>
    <w:rsid w:val="00AC2A4F"/>
    <w:rsid w:val="00AD395D"/>
    <w:rsid w:val="00B67644"/>
    <w:rsid w:val="00B735FD"/>
    <w:rsid w:val="00BB2324"/>
    <w:rsid w:val="00C44899"/>
    <w:rsid w:val="00CA180F"/>
    <w:rsid w:val="00DA125E"/>
    <w:rsid w:val="00DE73AC"/>
    <w:rsid w:val="00E0213F"/>
    <w:rsid w:val="00E51787"/>
    <w:rsid w:val="00E83471"/>
    <w:rsid w:val="00EF2993"/>
    <w:rsid w:val="00F81B26"/>
    <w:rsid w:val="00FA21A9"/>
    <w:rsid w:val="00FD1357"/>
    <w:rsid w:val="00FD4046"/>
    <w:rsid w:val="00FE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F67314"/>
  <w14:defaultImageDpi w14:val="300"/>
  <w15:docId w15:val="{C4549615-B2AD-4BAD-B372-58D3CE2E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next w:val="Standard"/>
    <w:link w:val="berschrift1Zchn"/>
    <w:autoRedefine/>
    <w:qFormat/>
    <w:rsid w:val="00E83471"/>
    <w:pPr>
      <w:keepNext/>
      <w:spacing w:before="720" w:after="120"/>
      <w:ind w:right="-90"/>
      <w:outlineLvl w:val="0"/>
    </w:pPr>
    <w:rPr>
      <w:rFonts w:ascii="Univers" w:eastAsia="Univers" w:hAnsi="Univers" w:cs="Arial"/>
      <w:b/>
      <w:bCs/>
      <w:kern w:val="32"/>
      <w:sz w:val="36"/>
      <w:szCs w:val="32"/>
      <w:lang w:val="de-DE" w:eastAsia="hi-IN" w:bidi="hi-IN"/>
    </w:rPr>
  </w:style>
  <w:style w:type="paragraph" w:styleId="berschrift2">
    <w:name w:val="heading 2"/>
    <w:basedOn w:val="Standard"/>
    <w:next w:val="Standard"/>
    <w:link w:val="berschrift2Zchn"/>
    <w:qFormat/>
    <w:rsid w:val="00AD395D"/>
    <w:pPr>
      <w:keepNext/>
      <w:widowControl w:val="0"/>
      <w:suppressAutoHyphens/>
      <w:spacing w:before="240" w:line="288" w:lineRule="auto"/>
      <w:outlineLvl w:val="1"/>
    </w:pPr>
    <w:rPr>
      <w:rFonts w:ascii="Univers" w:eastAsia="SimSun" w:hAnsi="Univers" w:cs="Arial"/>
      <w:bCs/>
      <w:iCs/>
      <w:kern w:val="28"/>
      <w:sz w:val="34"/>
      <w:szCs w:val="28"/>
      <w:lang w:val="de-DE"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83471"/>
    <w:rPr>
      <w:rFonts w:ascii="Univers" w:eastAsia="Univers" w:hAnsi="Univers" w:cs="Arial"/>
      <w:b/>
      <w:bCs/>
      <w:kern w:val="32"/>
      <w:sz w:val="36"/>
      <w:szCs w:val="32"/>
      <w:lang w:val="de-DE" w:eastAsia="hi-IN" w:bidi="hi-IN"/>
    </w:rPr>
  </w:style>
  <w:style w:type="character" w:customStyle="1" w:styleId="berschrift2Zchn">
    <w:name w:val="Überschrift 2 Zchn"/>
    <w:basedOn w:val="Absatz-Standardschriftart"/>
    <w:link w:val="berschrift2"/>
    <w:rsid w:val="00AD395D"/>
    <w:rPr>
      <w:rFonts w:ascii="Univers" w:eastAsia="SimSun" w:hAnsi="Univers" w:cs="Arial"/>
      <w:bCs/>
      <w:iCs/>
      <w:kern w:val="28"/>
      <w:sz w:val="34"/>
      <w:szCs w:val="28"/>
      <w:lang w:val="de-DE" w:eastAsia="hi-IN" w:bidi="hi-IN"/>
    </w:rPr>
  </w:style>
  <w:style w:type="paragraph" w:customStyle="1" w:styleId="02Flietext">
    <w:name w:val="02 Fließtext"/>
    <w:basedOn w:val="Standard"/>
    <w:link w:val="02FlietextZchn"/>
    <w:autoRedefine/>
    <w:rsid w:val="00FD4046"/>
    <w:pPr>
      <w:widowControl w:val="0"/>
      <w:autoSpaceDE w:val="0"/>
      <w:spacing w:after="120" w:line="320" w:lineRule="atLeast"/>
      <w:textAlignment w:val="center"/>
    </w:pPr>
    <w:rPr>
      <w:rFonts w:ascii="Univers" w:eastAsia="Univers" w:hAnsi="Univers" w:cs="Univers"/>
      <w:lang w:val="de-DE" w:eastAsia="de-DE"/>
    </w:rPr>
  </w:style>
  <w:style w:type="character" w:customStyle="1" w:styleId="02FlietextZchn">
    <w:name w:val="02 Fließtext Zchn"/>
    <w:basedOn w:val="Absatz-Standardschriftart"/>
    <w:link w:val="02Flietext"/>
    <w:rsid w:val="00FD4046"/>
    <w:rPr>
      <w:rFonts w:ascii="Univers" w:eastAsia="Univers" w:hAnsi="Univers" w:cs="Univers"/>
      <w:lang w:val="de-DE" w:eastAsia="de-DE"/>
    </w:rPr>
  </w:style>
  <w:style w:type="paragraph" w:customStyle="1" w:styleId="Formatvorlage02FlietextLinks075cmHngend05cm">
    <w:name w:val="Formatvorlage 02 Fließtext + Links:  075 cm Hängend:  05 cm"/>
    <w:basedOn w:val="02Flietext"/>
    <w:rsid w:val="00AD395D"/>
    <w:pPr>
      <w:ind w:left="709" w:hanging="284"/>
    </w:pPr>
    <w:rPr>
      <w:rFonts w:eastAsia="Times New Roman" w:cs="Times New Roman"/>
      <w:szCs w:val="20"/>
    </w:rPr>
  </w:style>
  <w:style w:type="paragraph" w:customStyle="1" w:styleId="Unterschriften">
    <w:name w:val="Unterschriften"/>
    <w:basedOn w:val="02Flietext"/>
    <w:link w:val="UnterschriftenZchn"/>
    <w:rsid w:val="00AD395D"/>
    <w:pPr>
      <w:spacing w:before="120"/>
      <w:ind w:left="6521"/>
    </w:pPr>
  </w:style>
  <w:style w:type="character" w:customStyle="1" w:styleId="UnterschriftenZchn">
    <w:name w:val="Unterschriften Zchn"/>
    <w:basedOn w:val="02FlietextZchn"/>
    <w:link w:val="Unterschriften"/>
    <w:rsid w:val="00AD395D"/>
    <w:rPr>
      <w:rFonts w:ascii="Univers" w:eastAsia="Univers" w:hAnsi="Univers" w:cs="Univers"/>
      <w:color w:val="000000"/>
      <w:lang w:val="de-DE" w:eastAsia="de-DE"/>
    </w:rPr>
  </w:style>
  <w:style w:type="paragraph" w:styleId="Sprechblasentext">
    <w:name w:val="Balloon Text"/>
    <w:basedOn w:val="Standard"/>
    <w:link w:val="SprechblasentextZchn"/>
    <w:uiPriority w:val="99"/>
    <w:semiHidden/>
    <w:unhideWhenUsed/>
    <w:rsid w:val="00FE6CE9"/>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6CE9"/>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857BB1"/>
    <w:rPr>
      <w:sz w:val="16"/>
      <w:szCs w:val="16"/>
    </w:rPr>
  </w:style>
  <w:style w:type="paragraph" w:styleId="Kommentartext">
    <w:name w:val="annotation text"/>
    <w:basedOn w:val="Standard"/>
    <w:link w:val="KommentartextZchn"/>
    <w:uiPriority w:val="99"/>
    <w:semiHidden/>
    <w:unhideWhenUsed/>
    <w:rsid w:val="00857BB1"/>
    <w:rPr>
      <w:sz w:val="20"/>
      <w:szCs w:val="20"/>
    </w:rPr>
  </w:style>
  <w:style w:type="character" w:customStyle="1" w:styleId="KommentartextZchn">
    <w:name w:val="Kommentartext Zchn"/>
    <w:basedOn w:val="Absatz-Standardschriftart"/>
    <w:link w:val="Kommentartext"/>
    <w:uiPriority w:val="99"/>
    <w:semiHidden/>
    <w:rsid w:val="00857BB1"/>
    <w:rPr>
      <w:sz w:val="20"/>
      <w:szCs w:val="20"/>
    </w:rPr>
  </w:style>
  <w:style w:type="paragraph" w:styleId="Kommentarthema">
    <w:name w:val="annotation subject"/>
    <w:basedOn w:val="Kommentartext"/>
    <w:next w:val="Kommentartext"/>
    <w:link w:val="KommentarthemaZchn"/>
    <w:uiPriority w:val="99"/>
    <w:semiHidden/>
    <w:unhideWhenUsed/>
    <w:rsid w:val="00857BB1"/>
    <w:rPr>
      <w:b/>
      <w:bCs/>
    </w:rPr>
  </w:style>
  <w:style w:type="character" w:customStyle="1" w:styleId="KommentarthemaZchn">
    <w:name w:val="Kommentarthema Zchn"/>
    <w:basedOn w:val="KommentartextZchn"/>
    <w:link w:val="Kommentarthema"/>
    <w:uiPriority w:val="99"/>
    <w:semiHidden/>
    <w:rsid w:val="00857BB1"/>
    <w:rPr>
      <w:b/>
      <w:bCs/>
      <w:sz w:val="20"/>
      <w:szCs w:val="20"/>
    </w:rPr>
  </w:style>
  <w:style w:type="paragraph" w:styleId="Funotentext">
    <w:name w:val="footnote text"/>
    <w:basedOn w:val="Standard"/>
    <w:link w:val="FunotentextZchn"/>
    <w:uiPriority w:val="99"/>
    <w:unhideWhenUsed/>
    <w:rsid w:val="00DA125E"/>
  </w:style>
  <w:style w:type="character" w:customStyle="1" w:styleId="FunotentextZchn">
    <w:name w:val="Fußnotentext Zchn"/>
    <w:basedOn w:val="Absatz-Standardschriftart"/>
    <w:link w:val="Funotentext"/>
    <w:uiPriority w:val="99"/>
    <w:rsid w:val="00DA125E"/>
  </w:style>
  <w:style w:type="character" w:styleId="Funotenzeichen">
    <w:name w:val="footnote reference"/>
    <w:basedOn w:val="Absatz-Standardschriftart"/>
    <w:uiPriority w:val="99"/>
    <w:unhideWhenUsed/>
    <w:rsid w:val="00DA12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629D6-26E8-4859-8C74-7F43AE18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7191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Wahren-Krueger</dc:creator>
  <cp:keywords/>
  <dc:description/>
  <cp:lastModifiedBy>Patrick Temmesfeld</cp:lastModifiedBy>
  <cp:revision>3</cp:revision>
  <cp:lastPrinted>2020-03-26T07:42:00Z</cp:lastPrinted>
  <dcterms:created xsi:type="dcterms:W3CDTF">2020-03-26T07:42:00Z</dcterms:created>
  <dcterms:modified xsi:type="dcterms:W3CDTF">2021-02-25T12:22:00Z</dcterms:modified>
</cp:coreProperties>
</file>