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32EC" w14:textId="694F32B4" w:rsidR="004E45B8" w:rsidRPr="006F0BF5" w:rsidRDefault="004E45B8" w:rsidP="0031168E">
      <w:pPr>
        <w:pStyle w:val="berschrift1"/>
        <w:rPr>
          <w:rFonts w:ascii="Arial" w:hAnsi="Arial" w:cs="Arial"/>
          <w:color w:val="auto"/>
        </w:rPr>
      </w:pPr>
      <w:r w:rsidRPr="006F0BF5">
        <w:rPr>
          <w:rFonts w:ascii="Arial" w:hAnsi="Arial" w:cs="Arial"/>
          <w:color w:val="auto"/>
        </w:rPr>
        <w:t xml:space="preserve">AK 2. Ausbildungsphase </w:t>
      </w:r>
    </w:p>
    <w:p w14:paraId="3B866146" w14:textId="77777777" w:rsidR="004E45B8" w:rsidRPr="006F0BF5" w:rsidRDefault="004E45B8" w:rsidP="004E45B8">
      <w:pPr>
        <w:pStyle w:val="berschrift2"/>
        <w:rPr>
          <w:rFonts w:ascii="Arial" w:hAnsi="Arial" w:cs="Arial"/>
          <w:color w:val="auto"/>
        </w:rPr>
      </w:pPr>
      <w:r w:rsidRPr="006F0BF5">
        <w:rPr>
          <w:rFonts w:ascii="Arial" w:hAnsi="Arial" w:cs="Arial"/>
          <w:color w:val="auto"/>
        </w:rPr>
        <w:t>Situationsbeschreibung</w:t>
      </w:r>
    </w:p>
    <w:p w14:paraId="2D4E9698" w14:textId="77777777" w:rsidR="004E45B8" w:rsidRPr="006F0BF5" w:rsidRDefault="004E45B8" w:rsidP="004E45B8">
      <w:pPr>
        <w:rPr>
          <w:rFonts w:cs="Arial"/>
        </w:rPr>
      </w:pPr>
      <w:r w:rsidRPr="006F0BF5">
        <w:rPr>
          <w:rFonts w:cs="Arial"/>
        </w:rPr>
        <w:t>„Der Vorbereitungsdienst ist die eigenständige, schulpraktisch ausgerichtete abschließende Phase der Lehrerbildung.“ (KMK; 2012)</w:t>
      </w:r>
    </w:p>
    <w:p w14:paraId="3AF408BB" w14:textId="77777777" w:rsidR="004E45B8" w:rsidRPr="006F0BF5" w:rsidRDefault="004E45B8" w:rsidP="004E45B8">
      <w:pPr>
        <w:rPr>
          <w:rFonts w:cs="Arial"/>
        </w:rPr>
      </w:pPr>
    </w:p>
    <w:p w14:paraId="3EFFBAA9" w14:textId="72CD7FD4" w:rsidR="00CD7094" w:rsidRPr="006F0BF5" w:rsidRDefault="004E45B8" w:rsidP="004E45B8">
      <w:pPr>
        <w:rPr>
          <w:rFonts w:cs="Arial"/>
        </w:rPr>
      </w:pPr>
      <w:r w:rsidRPr="006F0BF5">
        <w:rPr>
          <w:rFonts w:cs="Arial"/>
        </w:rPr>
        <w:t>Die Ausbildung im Vorbereitungsdienst (VD) für das Lehramt Sonderpädagogik</w:t>
      </w:r>
      <w:r w:rsidR="00CD7094" w:rsidRPr="006F0BF5">
        <w:rPr>
          <w:rFonts w:cs="Arial"/>
        </w:rPr>
        <w:t xml:space="preserve"> obliegt der Verantwor</w:t>
      </w:r>
      <w:r w:rsidR="00304F4A" w:rsidRPr="006F0BF5">
        <w:rPr>
          <w:rFonts w:cs="Arial"/>
        </w:rPr>
        <w:t>tung der einzelnen Bundesländer. Diese</w:t>
      </w:r>
      <w:r w:rsidR="00C7538E" w:rsidRPr="006F0BF5">
        <w:rPr>
          <w:rFonts w:cs="Arial"/>
        </w:rPr>
        <w:t xml:space="preserve"> </w:t>
      </w:r>
      <w:r w:rsidR="00CD7094" w:rsidRPr="006F0BF5">
        <w:rPr>
          <w:rFonts w:cs="Arial"/>
        </w:rPr>
        <w:t>gestaltet sich daher</w:t>
      </w:r>
      <w:r w:rsidRPr="006F0BF5">
        <w:rPr>
          <w:rFonts w:cs="Arial"/>
        </w:rPr>
        <w:t xml:space="preserve"> </w:t>
      </w:r>
      <w:r w:rsidR="00CD7094" w:rsidRPr="006F0BF5">
        <w:rPr>
          <w:rFonts w:cs="Arial"/>
        </w:rPr>
        <w:t xml:space="preserve">sehr unterschiedlich und ist stetiger </w:t>
      </w:r>
      <w:r w:rsidR="00C7538E" w:rsidRPr="006F0BF5">
        <w:rPr>
          <w:rFonts w:cs="Arial"/>
        </w:rPr>
        <w:t xml:space="preserve">Wandlung ausgesetzt. Die vorliegende </w:t>
      </w:r>
      <w:r w:rsidR="00CD7094" w:rsidRPr="006F0BF5">
        <w:rPr>
          <w:rFonts w:cs="Arial"/>
        </w:rPr>
        <w:t xml:space="preserve">Situationsbeschreibung </w:t>
      </w:r>
      <w:r w:rsidR="00C7538E" w:rsidRPr="006F0BF5">
        <w:rPr>
          <w:rFonts w:cs="Arial"/>
        </w:rPr>
        <w:t>bietet</w:t>
      </w:r>
      <w:r w:rsidR="00304F4A" w:rsidRPr="006F0BF5">
        <w:rPr>
          <w:rFonts w:cs="Arial"/>
        </w:rPr>
        <w:t xml:space="preserve"> daher</w:t>
      </w:r>
      <w:r w:rsidR="00C7538E" w:rsidRPr="006F0BF5">
        <w:rPr>
          <w:rFonts w:cs="Arial"/>
        </w:rPr>
        <w:t xml:space="preserve"> einen </w:t>
      </w:r>
      <w:r w:rsidR="00CD7094" w:rsidRPr="006F0BF5">
        <w:rPr>
          <w:rFonts w:cs="Arial"/>
        </w:rPr>
        <w:t>Überblick</w:t>
      </w:r>
      <w:r w:rsidR="00C7538E" w:rsidRPr="006F0BF5">
        <w:rPr>
          <w:rFonts w:cs="Arial"/>
        </w:rPr>
        <w:t xml:space="preserve"> </w:t>
      </w:r>
      <w:r w:rsidR="00304F4A" w:rsidRPr="006F0BF5">
        <w:rPr>
          <w:rFonts w:cs="Arial"/>
        </w:rPr>
        <w:t>über den derzeitigen Stand.</w:t>
      </w:r>
    </w:p>
    <w:p w14:paraId="73A8BF3B" w14:textId="77777777" w:rsidR="00CD7094" w:rsidRPr="006F0BF5" w:rsidRDefault="00CD7094" w:rsidP="004E45B8">
      <w:pPr>
        <w:rPr>
          <w:rFonts w:cs="Arial"/>
        </w:rPr>
      </w:pPr>
    </w:p>
    <w:p w14:paraId="2BBD3278" w14:textId="77777777" w:rsidR="004E45B8" w:rsidRPr="006F0BF5" w:rsidRDefault="004E45B8" w:rsidP="004E45B8">
      <w:pPr>
        <w:rPr>
          <w:rFonts w:cs="Arial"/>
        </w:rPr>
      </w:pPr>
      <w:r w:rsidRPr="006F0BF5">
        <w:rPr>
          <w:rFonts w:cs="Arial"/>
        </w:rPr>
        <w:t>Die Dauer des VD liegt in der Rege</w:t>
      </w:r>
      <w:r w:rsidR="00C7538E" w:rsidRPr="006F0BF5">
        <w:rPr>
          <w:rFonts w:cs="Arial"/>
        </w:rPr>
        <w:t xml:space="preserve">l bei 18 Monaten – sie variiert im Vergleich der Bundesländer  zwischen </w:t>
      </w:r>
      <w:r w:rsidRPr="006F0BF5">
        <w:rPr>
          <w:rFonts w:cs="Arial"/>
        </w:rPr>
        <w:t xml:space="preserve">12 – 24 Monaten. </w:t>
      </w:r>
    </w:p>
    <w:p w14:paraId="1445FF23" w14:textId="77777777" w:rsidR="00CD7094" w:rsidRPr="006F0BF5" w:rsidRDefault="004E45B8" w:rsidP="00CD7094">
      <w:pPr>
        <w:rPr>
          <w:rFonts w:cs="Arial"/>
        </w:rPr>
      </w:pPr>
      <w:r w:rsidRPr="006F0BF5">
        <w:rPr>
          <w:rFonts w:cs="Arial"/>
        </w:rPr>
        <w:t xml:space="preserve">Die Ausbildung findet sowohl in Schulen als auch an den Studienseminaren statt. </w:t>
      </w:r>
      <w:r w:rsidRPr="006F0BF5">
        <w:rPr>
          <w:rFonts w:cs="Arial"/>
        </w:rPr>
        <w:br/>
      </w:r>
      <w:r w:rsidR="00CD7094" w:rsidRPr="006F0BF5">
        <w:rPr>
          <w:rFonts w:cs="Arial"/>
        </w:rPr>
        <w:t>Die inhaltliche Ausgestaltung des Vorbereitungsdienstes richtet sich nac</w:t>
      </w:r>
      <w:r w:rsidR="0031168E" w:rsidRPr="006F0BF5">
        <w:rPr>
          <w:rFonts w:cs="Arial"/>
        </w:rPr>
        <w:t xml:space="preserve">h den </w:t>
      </w:r>
      <w:r w:rsidR="00CD7094" w:rsidRPr="006F0BF5">
        <w:rPr>
          <w:rFonts w:cs="Arial"/>
        </w:rPr>
        <w:t>Standards für die Lehrerbildung</w:t>
      </w:r>
      <w:r w:rsidR="000F3727" w:rsidRPr="006F0BF5">
        <w:rPr>
          <w:rFonts w:cs="Arial"/>
        </w:rPr>
        <w:t>.</w:t>
      </w:r>
      <w:r w:rsidR="00CD7094" w:rsidRPr="006F0BF5">
        <w:rPr>
          <w:rFonts w:cs="Arial"/>
        </w:rPr>
        <w:t xml:space="preserve"> (KMK-Beschluss</w:t>
      </w:r>
      <w:r w:rsidR="0031168E" w:rsidRPr="006F0BF5">
        <w:rPr>
          <w:rFonts w:cs="Arial"/>
        </w:rPr>
        <w:t>; 2004)</w:t>
      </w:r>
      <w:r w:rsidR="00CD7094" w:rsidRPr="006F0BF5">
        <w:rPr>
          <w:rFonts w:cs="Arial"/>
        </w:rPr>
        <w:t xml:space="preserve"> </w:t>
      </w:r>
    </w:p>
    <w:p w14:paraId="5C599783" w14:textId="7E5B631F" w:rsidR="00C66E4F" w:rsidRPr="00C24166" w:rsidRDefault="00C66E4F" w:rsidP="00CD7094">
      <w:pPr>
        <w:rPr>
          <w:rFonts w:cs="Arial"/>
          <w:b/>
          <w:bCs/>
        </w:rPr>
      </w:pPr>
      <w:r w:rsidRPr="00C24166">
        <w:rPr>
          <w:rFonts w:cs="Arial"/>
          <w:b/>
          <w:bCs/>
        </w:rPr>
        <w:t>Dabei ist nicht in allen Bundeslände</w:t>
      </w:r>
      <w:r w:rsidR="00304F4A" w:rsidRPr="00C24166">
        <w:rPr>
          <w:rFonts w:cs="Arial"/>
          <w:b/>
          <w:bCs/>
        </w:rPr>
        <w:t xml:space="preserve">rn eine spezifische Ausbildung </w:t>
      </w:r>
      <w:r w:rsidR="00C7538E" w:rsidRPr="00C24166">
        <w:rPr>
          <w:rFonts w:cs="Arial"/>
          <w:b/>
          <w:bCs/>
        </w:rPr>
        <w:t xml:space="preserve">im </w:t>
      </w:r>
      <w:r w:rsidRPr="00C24166">
        <w:rPr>
          <w:rFonts w:cs="Arial"/>
          <w:b/>
          <w:bCs/>
        </w:rPr>
        <w:t xml:space="preserve">Förderschwerpunkt </w:t>
      </w:r>
      <w:r w:rsidR="00C7538E" w:rsidRPr="00C24166">
        <w:rPr>
          <w:rFonts w:cs="Arial"/>
          <w:b/>
          <w:bCs/>
        </w:rPr>
        <w:t>Sehen vorgesehen. Hier</w:t>
      </w:r>
      <w:r w:rsidR="00A54D05" w:rsidRPr="00C24166">
        <w:rPr>
          <w:rFonts w:cs="Arial"/>
          <w:b/>
          <w:bCs/>
        </w:rPr>
        <w:t xml:space="preserve"> wir</w:t>
      </w:r>
      <w:r w:rsidR="00C7538E" w:rsidRPr="00C24166">
        <w:rPr>
          <w:rFonts w:cs="Arial"/>
          <w:b/>
          <w:bCs/>
        </w:rPr>
        <w:t xml:space="preserve">d </w:t>
      </w:r>
      <w:r w:rsidR="00A54D05" w:rsidRPr="00C24166">
        <w:rPr>
          <w:rFonts w:cs="Arial"/>
          <w:b/>
          <w:bCs/>
        </w:rPr>
        <w:t xml:space="preserve">eine Ausbildung zum Lehramt Sonderpädagogik in allgemeiner Form angeboten. </w:t>
      </w:r>
    </w:p>
    <w:p w14:paraId="74166676" w14:textId="77777777" w:rsidR="00304F4A" w:rsidRPr="006F0BF5" w:rsidRDefault="00304F4A" w:rsidP="00CD7094">
      <w:pPr>
        <w:rPr>
          <w:rFonts w:cs="Arial"/>
        </w:rPr>
      </w:pPr>
    </w:p>
    <w:p w14:paraId="1A65AFF6" w14:textId="2C264C31" w:rsidR="00276723" w:rsidRPr="00083532" w:rsidRDefault="00A80A58" w:rsidP="00CD7094">
      <w:pPr>
        <w:rPr>
          <w:rFonts w:cs="Arial"/>
        </w:rPr>
      </w:pPr>
      <w:r w:rsidRPr="00083532">
        <w:rPr>
          <w:rFonts w:cs="Arial"/>
        </w:rPr>
        <w:t>Um</w:t>
      </w:r>
      <w:r w:rsidR="00304F4A" w:rsidRPr="00083532">
        <w:rPr>
          <w:rFonts w:cs="Arial"/>
        </w:rPr>
        <w:t xml:space="preserve"> eine flächendeckende </w:t>
      </w:r>
      <w:r w:rsidRPr="00083532">
        <w:rPr>
          <w:rFonts w:cs="Arial"/>
        </w:rPr>
        <w:t xml:space="preserve">Versorgung </w:t>
      </w:r>
      <w:r w:rsidR="00B46F48" w:rsidRPr="00083532">
        <w:rPr>
          <w:rFonts w:cs="Arial"/>
        </w:rPr>
        <w:t xml:space="preserve">mit Lehrkräften im Förderschwerpunkt Sehen </w:t>
      </w:r>
      <w:r w:rsidRPr="00083532">
        <w:rPr>
          <w:rFonts w:cs="Arial"/>
        </w:rPr>
        <w:t>zu sichern,</w:t>
      </w:r>
      <w:r w:rsidR="006E052B" w:rsidRPr="00083532">
        <w:rPr>
          <w:rFonts w:cs="Arial"/>
        </w:rPr>
        <w:t xml:space="preserve"> streben</w:t>
      </w:r>
      <w:r w:rsidR="00CD651A" w:rsidRPr="00083532">
        <w:rPr>
          <w:rFonts w:cs="Arial"/>
        </w:rPr>
        <w:t xml:space="preserve"> einige Bundesländer inzwischen </w:t>
      </w:r>
      <w:r w:rsidR="00276723" w:rsidRPr="00083532">
        <w:rPr>
          <w:rFonts w:cs="Arial"/>
        </w:rPr>
        <w:t>verschiedene Modelle der</w:t>
      </w:r>
      <w:r w:rsidR="00CD651A" w:rsidRPr="00083532">
        <w:rPr>
          <w:rFonts w:cs="Arial"/>
        </w:rPr>
        <w:t xml:space="preserve"> Nach- oder Weiterqualifizierung</w:t>
      </w:r>
      <w:r w:rsidR="00D04C33" w:rsidRPr="00083532">
        <w:rPr>
          <w:rFonts w:cs="Arial"/>
        </w:rPr>
        <w:t xml:space="preserve"> an,</w:t>
      </w:r>
      <w:r w:rsidR="00CD651A" w:rsidRPr="00083532">
        <w:rPr>
          <w:rFonts w:cs="Arial"/>
        </w:rPr>
        <w:t xml:space="preserve"> </w:t>
      </w:r>
      <w:r w:rsidR="00FE6F62" w:rsidRPr="00083532">
        <w:rPr>
          <w:rFonts w:cs="Arial"/>
        </w:rPr>
        <w:t xml:space="preserve">unter anderem </w:t>
      </w:r>
      <w:r w:rsidR="00304F4A" w:rsidRPr="00083532">
        <w:rPr>
          <w:rFonts w:cs="Arial"/>
        </w:rPr>
        <w:t xml:space="preserve">für </w:t>
      </w:r>
      <w:r w:rsidR="00CD651A" w:rsidRPr="00083532">
        <w:rPr>
          <w:rFonts w:cs="Arial"/>
        </w:rPr>
        <w:t>Pädagoginnen und Pädagog</w:t>
      </w:r>
      <w:r w:rsidR="00D04C33" w:rsidRPr="00083532">
        <w:rPr>
          <w:rFonts w:cs="Arial"/>
        </w:rPr>
        <w:t>en der allgemeinen Lehrämter</w:t>
      </w:r>
      <w:r w:rsidR="00276723" w:rsidRPr="00083532">
        <w:rPr>
          <w:rFonts w:cs="Arial"/>
        </w:rPr>
        <w:t xml:space="preserve">. Dies ersetzt </w:t>
      </w:r>
      <w:r w:rsidR="006F67E9">
        <w:rPr>
          <w:rFonts w:cs="Arial"/>
        </w:rPr>
        <w:t xml:space="preserve">jedoch </w:t>
      </w:r>
      <w:r w:rsidR="00276723" w:rsidRPr="00083532">
        <w:rPr>
          <w:rFonts w:cs="Arial"/>
        </w:rPr>
        <w:t>in keiner Weise das Studium und den Vorbereitungsdienst in der Fachrichtung</w:t>
      </w:r>
      <w:r w:rsidR="006F67E9">
        <w:rPr>
          <w:rFonts w:cs="Arial"/>
        </w:rPr>
        <w:t xml:space="preserve">. </w:t>
      </w:r>
    </w:p>
    <w:p w14:paraId="0F2AFEA6" w14:textId="7F77D368" w:rsidR="006F67E9" w:rsidRDefault="00276723" w:rsidP="00CD7094">
      <w:pPr>
        <w:rPr>
          <w:rFonts w:cs="Arial"/>
        </w:rPr>
      </w:pPr>
      <w:r w:rsidRPr="00083532">
        <w:rPr>
          <w:rFonts w:cs="Arial"/>
        </w:rPr>
        <w:t xml:space="preserve">Auch </w:t>
      </w:r>
      <w:r w:rsidR="006F0BF5" w:rsidRPr="00083532">
        <w:rPr>
          <w:rFonts w:cs="Arial"/>
        </w:rPr>
        <w:t xml:space="preserve">werden </w:t>
      </w:r>
      <w:r w:rsidRPr="00083532">
        <w:rPr>
          <w:rFonts w:cs="Arial"/>
        </w:rPr>
        <w:t>Lehrkräfte, die lediglich über einen Studienabschluss verfügen</w:t>
      </w:r>
      <w:r w:rsidR="006F0BF5" w:rsidRPr="00083532">
        <w:rPr>
          <w:rFonts w:cs="Arial"/>
        </w:rPr>
        <w:t>,</w:t>
      </w:r>
      <w:r w:rsidRPr="00083532">
        <w:rPr>
          <w:rFonts w:cs="Arial"/>
        </w:rPr>
        <w:t xml:space="preserve"> und keinen Vorbereitungsdienst absolviert haben</w:t>
      </w:r>
      <w:r w:rsidR="00CF4A62">
        <w:rPr>
          <w:rFonts w:cs="Arial"/>
        </w:rPr>
        <w:t>,</w:t>
      </w:r>
      <w:r w:rsidR="006F0BF5" w:rsidRPr="00083532">
        <w:rPr>
          <w:rFonts w:cs="Arial"/>
        </w:rPr>
        <w:t xml:space="preserve"> eingesetzt</w:t>
      </w:r>
      <w:r w:rsidR="00894912">
        <w:rPr>
          <w:rFonts w:cs="Arial"/>
        </w:rPr>
        <w:t>,</w:t>
      </w:r>
      <w:r w:rsidR="006F0BF5" w:rsidRPr="00083532">
        <w:rPr>
          <w:rFonts w:cs="Arial"/>
        </w:rPr>
        <w:t xml:space="preserve"> </w:t>
      </w:r>
      <w:r w:rsidR="006F67E9">
        <w:rPr>
          <w:rFonts w:cs="Arial"/>
        </w:rPr>
        <w:t xml:space="preserve">um </w:t>
      </w:r>
      <w:r w:rsidR="006F67E9">
        <w:t>das Fehlen von Lehrkräften zu kompensieren</w:t>
      </w:r>
      <w:r w:rsidR="006F67E9">
        <w:t>.</w:t>
      </w:r>
      <w:r w:rsidR="006F67E9" w:rsidRPr="00083532">
        <w:rPr>
          <w:rFonts w:cs="Arial"/>
        </w:rPr>
        <w:t xml:space="preserve"> </w:t>
      </w:r>
    </w:p>
    <w:p w14:paraId="3497E724" w14:textId="23834784" w:rsidR="00A80A58" w:rsidRPr="006F0BF5" w:rsidRDefault="00276723" w:rsidP="00CD7094">
      <w:pPr>
        <w:rPr>
          <w:rFonts w:cs="Arial"/>
        </w:rPr>
      </w:pPr>
      <w:r w:rsidRPr="00083532">
        <w:rPr>
          <w:rFonts w:cs="Arial"/>
        </w:rPr>
        <w:t>Beide Modelle</w:t>
      </w:r>
      <w:r w:rsidR="006F67E9">
        <w:rPr>
          <w:rFonts w:cs="Arial"/>
        </w:rPr>
        <w:t xml:space="preserve"> sind </w:t>
      </w:r>
      <w:r w:rsidR="00CD651A" w:rsidRPr="00083532">
        <w:rPr>
          <w:rFonts w:cs="Arial"/>
        </w:rPr>
        <w:t>unvereinbar mit dem Grundsatz der</w:t>
      </w:r>
      <w:r w:rsidR="00C24166">
        <w:rPr>
          <w:rFonts w:cs="Arial"/>
        </w:rPr>
        <w:t xml:space="preserve"> </w:t>
      </w:r>
      <w:r w:rsidR="00CD651A" w:rsidRPr="00083532">
        <w:rPr>
          <w:rFonts w:cs="Arial"/>
        </w:rPr>
        <w:t>Behindertenrechtskonvention, einen Zugang zu hochwertiger Bildung für Menschen mit Behinderungen zu schaffen. (vgl. BRK; 2006)</w:t>
      </w:r>
    </w:p>
    <w:p w14:paraId="428B2978" w14:textId="77777777" w:rsidR="004E45B8" w:rsidRPr="006F0BF5" w:rsidRDefault="004E45B8" w:rsidP="004E45B8">
      <w:pPr>
        <w:rPr>
          <w:rFonts w:cs="Arial"/>
        </w:rPr>
      </w:pPr>
    </w:p>
    <w:p w14:paraId="6FC2AED1" w14:textId="77777777" w:rsidR="00304F4A" w:rsidRPr="006F0BF5" w:rsidRDefault="00A54D05" w:rsidP="004E45B8">
      <w:pPr>
        <w:rPr>
          <w:rFonts w:cs="Arial"/>
        </w:rPr>
      </w:pPr>
      <w:r w:rsidRPr="006F0BF5">
        <w:rPr>
          <w:rFonts w:cs="Arial"/>
        </w:rPr>
        <w:t xml:space="preserve">Findet eine Ausbildung im Förderschwerpunkt Sehen statt, wird der </w:t>
      </w:r>
      <w:r w:rsidR="00CD7094" w:rsidRPr="006F0BF5">
        <w:rPr>
          <w:rFonts w:cs="Arial"/>
        </w:rPr>
        <w:t xml:space="preserve">Praxisanteil </w:t>
      </w:r>
      <w:r w:rsidRPr="006F0BF5">
        <w:rPr>
          <w:rFonts w:cs="Arial"/>
        </w:rPr>
        <w:t>je nach Bundesland oder Seminarstandort</w:t>
      </w:r>
      <w:r w:rsidR="00CD7094" w:rsidRPr="006F0BF5">
        <w:rPr>
          <w:rFonts w:cs="Arial"/>
        </w:rPr>
        <w:t xml:space="preserve"> an Förderschulen </w:t>
      </w:r>
      <w:r w:rsidR="00304F4A" w:rsidRPr="006F0BF5">
        <w:rPr>
          <w:rFonts w:cs="Arial"/>
        </w:rPr>
        <w:t>oder</w:t>
      </w:r>
      <w:r w:rsidR="00CD7094" w:rsidRPr="006F0BF5">
        <w:rPr>
          <w:rFonts w:cs="Arial"/>
        </w:rPr>
        <w:t xml:space="preserve"> in inklusiven Settings </w:t>
      </w:r>
      <w:r w:rsidRPr="006F0BF5">
        <w:rPr>
          <w:rFonts w:cs="Arial"/>
        </w:rPr>
        <w:t>absolviert</w:t>
      </w:r>
      <w:r w:rsidR="00D04C33" w:rsidRPr="006F0BF5">
        <w:rPr>
          <w:rFonts w:cs="Arial"/>
        </w:rPr>
        <w:t xml:space="preserve">. </w:t>
      </w:r>
      <w:r w:rsidR="00304F4A" w:rsidRPr="006F0BF5">
        <w:rPr>
          <w:rFonts w:cs="Arial"/>
        </w:rPr>
        <w:t>Es gibt auch Modelle, in denen der Praxisanteil in beiden Settings abgeleistet wird.</w:t>
      </w:r>
    </w:p>
    <w:p w14:paraId="1AB97A0B" w14:textId="77777777" w:rsidR="00CD7094" w:rsidRPr="006F0BF5" w:rsidRDefault="00CD7094" w:rsidP="004E45B8">
      <w:pPr>
        <w:rPr>
          <w:rFonts w:cs="Arial"/>
        </w:rPr>
      </w:pPr>
      <w:r w:rsidRPr="006F0BF5">
        <w:rPr>
          <w:rFonts w:cs="Arial"/>
        </w:rPr>
        <w:t>Die Ausbildung an den Schulen wird durch die Schulleitungen der je</w:t>
      </w:r>
      <w:r w:rsidR="00523FC8" w:rsidRPr="006F0BF5">
        <w:rPr>
          <w:rFonts w:cs="Arial"/>
        </w:rPr>
        <w:t xml:space="preserve">weiligen Schulen verantwortet. Je nach Bildungsgang und Schulkonzept </w:t>
      </w:r>
      <w:r w:rsidRPr="006F0BF5">
        <w:rPr>
          <w:rFonts w:cs="Arial"/>
        </w:rPr>
        <w:t>w</w:t>
      </w:r>
      <w:r w:rsidR="00781B81" w:rsidRPr="006F0BF5">
        <w:rPr>
          <w:rFonts w:cs="Arial"/>
        </w:rPr>
        <w:t>erden</w:t>
      </w:r>
      <w:r w:rsidRPr="006F0BF5">
        <w:rPr>
          <w:rFonts w:cs="Arial"/>
        </w:rPr>
        <w:t xml:space="preserve"> den Anwärterinnen und Anwärtern ein oder mehrere Mentorinnen oder Mentoren zugeordnet. Diese verfügen nicht immer über eine Expertise im Förderschwerpunkt Sehen.</w:t>
      </w:r>
    </w:p>
    <w:p w14:paraId="588BC40C" w14:textId="77777777" w:rsidR="00781B81" w:rsidRPr="006F0BF5" w:rsidRDefault="00781B81" w:rsidP="004E45B8">
      <w:pPr>
        <w:rPr>
          <w:rFonts w:cs="Arial"/>
        </w:rPr>
      </w:pPr>
    </w:p>
    <w:p w14:paraId="04ECE837" w14:textId="7CF23498" w:rsidR="004E45B8" w:rsidRPr="006F0BF5" w:rsidRDefault="004E45B8" w:rsidP="004E45B8">
      <w:pPr>
        <w:rPr>
          <w:rFonts w:cs="Arial"/>
        </w:rPr>
      </w:pPr>
      <w:r w:rsidRPr="006F0BF5">
        <w:rPr>
          <w:rFonts w:cs="Arial"/>
        </w:rPr>
        <w:t>D</w:t>
      </w:r>
      <w:r w:rsidR="00CD7094" w:rsidRPr="006F0BF5">
        <w:rPr>
          <w:rFonts w:cs="Arial"/>
        </w:rPr>
        <w:t>er</w:t>
      </w:r>
      <w:r w:rsidRPr="006F0BF5">
        <w:rPr>
          <w:rFonts w:cs="Arial"/>
        </w:rPr>
        <w:t xml:space="preserve"> </w:t>
      </w:r>
      <w:r w:rsidR="00523FC8" w:rsidRPr="006F0BF5">
        <w:rPr>
          <w:rFonts w:cs="Arial"/>
        </w:rPr>
        <w:t>zu leistende Seminara</w:t>
      </w:r>
      <w:r w:rsidR="00CD7094" w:rsidRPr="006F0BF5">
        <w:rPr>
          <w:rFonts w:cs="Arial"/>
        </w:rPr>
        <w:t>nteil</w:t>
      </w:r>
      <w:r w:rsidR="00523FC8" w:rsidRPr="006F0BF5">
        <w:rPr>
          <w:rFonts w:cs="Arial"/>
        </w:rPr>
        <w:t xml:space="preserve"> </w:t>
      </w:r>
      <w:r w:rsidR="00CF4A62">
        <w:rPr>
          <w:rFonts w:cs="Arial"/>
        </w:rPr>
        <w:t>im</w:t>
      </w:r>
      <w:r w:rsidR="00523FC8" w:rsidRPr="006F0BF5">
        <w:rPr>
          <w:rFonts w:cs="Arial"/>
        </w:rPr>
        <w:t xml:space="preserve"> </w:t>
      </w:r>
      <w:r w:rsidRPr="006F0BF5">
        <w:rPr>
          <w:rFonts w:cs="Arial"/>
        </w:rPr>
        <w:t xml:space="preserve">Förderschwerpunkt Sehen </w:t>
      </w:r>
      <w:r w:rsidR="00523FC8" w:rsidRPr="006F0BF5">
        <w:rPr>
          <w:rFonts w:cs="Arial"/>
        </w:rPr>
        <w:t>wird</w:t>
      </w:r>
      <w:r w:rsidRPr="006F0BF5">
        <w:rPr>
          <w:rFonts w:cs="Arial"/>
        </w:rPr>
        <w:t xml:space="preserve"> sowohl modularisiert als auch in Form von regelmäßigen wöchentlichen oder monatlichen Veranstaltungen </w:t>
      </w:r>
      <w:r w:rsidR="002E23B4" w:rsidRPr="006F0BF5">
        <w:rPr>
          <w:rFonts w:cs="Arial"/>
        </w:rPr>
        <w:t>angeboten. Die Anzahl der Seminarstunden im Förderschwerpunkt diff</w:t>
      </w:r>
      <w:r w:rsidR="00CD7094" w:rsidRPr="006F0BF5">
        <w:rPr>
          <w:rFonts w:cs="Arial"/>
        </w:rPr>
        <w:t>eriert dabei stark.</w:t>
      </w:r>
    </w:p>
    <w:p w14:paraId="695FDF78" w14:textId="77777777" w:rsidR="00A54D05" w:rsidRPr="006F0BF5" w:rsidRDefault="00A54D05" w:rsidP="004E45B8">
      <w:pPr>
        <w:rPr>
          <w:rFonts w:cs="Arial"/>
        </w:rPr>
      </w:pPr>
    </w:p>
    <w:p w14:paraId="1E0CEC84" w14:textId="35F74CBC" w:rsidR="00A54D05" w:rsidRPr="00C24166" w:rsidRDefault="006F67E9" w:rsidP="004E45B8">
      <w:pPr>
        <w:rPr>
          <w:rFonts w:cs="Arial"/>
          <w:b/>
          <w:bCs/>
        </w:rPr>
      </w:pPr>
      <w:r>
        <w:rPr>
          <w:rFonts w:cs="Arial"/>
        </w:rPr>
        <w:br w:type="column"/>
      </w:r>
      <w:r w:rsidR="00A54D05" w:rsidRPr="00C24166">
        <w:rPr>
          <w:rFonts w:cs="Arial"/>
          <w:b/>
          <w:bCs/>
        </w:rPr>
        <w:lastRenderedPageBreak/>
        <w:t xml:space="preserve">Die Bedingungen der </w:t>
      </w:r>
      <w:r w:rsidR="00A80A58" w:rsidRPr="00C24166">
        <w:rPr>
          <w:rFonts w:cs="Arial"/>
          <w:b/>
          <w:bCs/>
        </w:rPr>
        <w:t>Seminarlehrkräfte</w:t>
      </w:r>
      <w:r w:rsidR="00A54D05" w:rsidRPr="00C24166">
        <w:rPr>
          <w:rFonts w:cs="Arial"/>
          <w:b/>
          <w:bCs/>
        </w:rPr>
        <w:t xml:space="preserve"> sind je nach Bundesland und Seminarstandort sehr unterschiedlich.</w:t>
      </w:r>
    </w:p>
    <w:p w14:paraId="70DA4956" w14:textId="77777777" w:rsidR="00304F4A" w:rsidRPr="006F0BF5" w:rsidRDefault="00304F4A" w:rsidP="004E45B8">
      <w:pPr>
        <w:rPr>
          <w:rFonts w:cs="Arial"/>
        </w:rPr>
      </w:pPr>
      <w:r w:rsidRPr="006F0BF5">
        <w:rPr>
          <w:rFonts w:cs="Arial"/>
        </w:rPr>
        <w:t>Die Seminarlehrkräfte sind mit einem Teil- oder Gesamtdeputat von der Schule an das Seminar abgeordnet. Diese Abordnung ist häufig befristet und richtet sich in der Regel nach der Zahl der Anwärterinnen und Anwärter im Ausbildungsjahr.</w:t>
      </w:r>
    </w:p>
    <w:p w14:paraId="013C49BA" w14:textId="77777777" w:rsidR="00304F4A" w:rsidRPr="006F0BF5" w:rsidRDefault="00304F4A" w:rsidP="004E45B8">
      <w:pPr>
        <w:rPr>
          <w:rFonts w:cs="Arial"/>
        </w:rPr>
      </w:pPr>
      <w:r w:rsidRPr="006F0BF5">
        <w:rPr>
          <w:rFonts w:cs="Arial"/>
        </w:rPr>
        <w:t xml:space="preserve">Diese Zahlen differieren je nach Bundesland stark, teilweise werden in einem Ausbildungsjahr nur ein/e Anwärter/in ausgebildet. </w:t>
      </w:r>
    </w:p>
    <w:p w14:paraId="00E52430" w14:textId="4DD7C8F9" w:rsidR="00624BEA" w:rsidRPr="006F0BF5" w:rsidRDefault="00304F4A" w:rsidP="004E45B8">
      <w:pPr>
        <w:rPr>
          <w:rFonts w:cs="Arial"/>
        </w:rPr>
      </w:pPr>
      <w:r w:rsidRPr="006F0BF5">
        <w:rPr>
          <w:rFonts w:cs="Arial"/>
        </w:rPr>
        <w:t xml:space="preserve">So sind Seminarausbilderinnen und </w:t>
      </w:r>
      <w:r w:rsidR="003E7F26">
        <w:rPr>
          <w:rFonts w:cs="Arial"/>
        </w:rPr>
        <w:t>-</w:t>
      </w:r>
      <w:r w:rsidRPr="006F0BF5">
        <w:rPr>
          <w:rFonts w:cs="Arial"/>
        </w:rPr>
        <w:t xml:space="preserve">ausbilder zum Teil der Situation ausgesetzt, dass sie in direkter Abhängigkeit von einer Meldung von Anwärterinnen </w:t>
      </w:r>
      <w:proofErr w:type="gramStart"/>
      <w:r w:rsidRPr="006F0BF5">
        <w:rPr>
          <w:rFonts w:cs="Arial"/>
        </w:rPr>
        <w:t>und  Anwärtern</w:t>
      </w:r>
      <w:proofErr w:type="gramEnd"/>
      <w:r w:rsidRPr="006F0BF5">
        <w:rPr>
          <w:rFonts w:cs="Arial"/>
        </w:rPr>
        <w:t xml:space="preserve">  im Förderschwerpunkt Sehen abgeordnet werden. </w:t>
      </w:r>
    </w:p>
    <w:p w14:paraId="71AA0114" w14:textId="77777777" w:rsidR="004E45B8" w:rsidRPr="006F0BF5" w:rsidRDefault="00623A2C" w:rsidP="004E45B8">
      <w:pPr>
        <w:rPr>
          <w:rFonts w:cs="Arial"/>
        </w:rPr>
      </w:pPr>
      <w:r w:rsidRPr="006F0BF5">
        <w:rPr>
          <w:rFonts w:cs="Arial"/>
        </w:rPr>
        <w:t>Diese Bedingung führt zu einer sehr instabilen Arbeitssituation, die einer kontinuierlichen Seminarentwicklungsarbeit entgegenwirkt.</w:t>
      </w:r>
    </w:p>
    <w:p w14:paraId="21F85816" w14:textId="77777777" w:rsidR="00A54D05" w:rsidRPr="006F0BF5" w:rsidRDefault="00A80A58" w:rsidP="004E45B8">
      <w:pPr>
        <w:rPr>
          <w:rFonts w:cs="Arial"/>
        </w:rPr>
      </w:pPr>
      <w:r w:rsidRPr="006F0BF5">
        <w:rPr>
          <w:rFonts w:cs="Arial"/>
        </w:rPr>
        <w:t xml:space="preserve">Viele Seminarlehrkräfte sind daher </w:t>
      </w:r>
      <w:r w:rsidR="008C1F31" w:rsidRPr="006F0BF5">
        <w:rPr>
          <w:rFonts w:cs="Arial"/>
        </w:rPr>
        <w:t xml:space="preserve">neben der Tätigkeit am Seminar </w:t>
      </w:r>
      <w:r w:rsidRPr="006F0BF5">
        <w:rPr>
          <w:rFonts w:cs="Arial"/>
        </w:rPr>
        <w:t>in weitere</w:t>
      </w:r>
      <w:r w:rsidR="00E7764B" w:rsidRPr="006F0BF5">
        <w:rPr>
          <w:rFonts w:cs="Arial"/>
        </w:rPr>
        <w:t>n</w:t>
      </w:r>
      <w:r w:rsidRPr="006F0BF5">
        <w:rPr>
          <w:rFonts w:cs="Arial"/>
        </w:rPr>
        <w:t xml:space="preserve"> Aufgabenfelder</w:t>
      </w:r>
      <w:r w:rsidR="00C739F7" w:rsidRPr="006F0BF5">
        <w:rPr>
          <w:rFonts w:cs="Arial"/>
        </w:rPr>
        <w:t>n</w:t>
      </w:r>
      <w:r w:rsidRPr="006F0BF5">
        <w:rPr>
          <w:rFonts w:cs="Arial"/>
        </w:rPr>
        <w:t xml:space="preserve"> wie Beratung, Unterricht, Schulentwicklung etc. eingebunden. Dadurch gestaltet sich der Arbeitsalltag zerrissen und ist wenig attraktiv für Nachwuchskräfte.</w:t>
      </w:r>
    </w:p>
    <w:p w14:paraId="4F57F9DD" w14:textId="77777777" w:rsidR="00A54D05" w:rsidRPr="006F0BF5" w:rsidRDefault="00A54D05" w:rsidP="004E45B8">
      <w:pPr>
        <w:rPr>
          <w:rFonts w:cs="Arial"/>
        </w:rPr>
      </w:pPr>
    </w:p>
    <w:p w14:paraId="7D198420" w14:textId="77777777" w:rsidR="00EA0197" w:rsidRPr="006F0BF5" w:rsidRDefault="00542FBD" w:rsidP="00542FBD">
      <w:pPr>
        <w:pStyle w:val="berschrift3"/>
        <w:rPr>
          <w:rFonts w:ascii="Arial" w:hAnsi="Arial" w:cs="Arial"/>
          <w:color w:val="auto"/>
        </w:rPr>
      </w:pPr>
      <w:r w:rsidRPr="006F0BF5">
        <w:rPr>
          <w:rFonts w:ascii="Arial" w:hAnsi="Arial" w:cs="Arial"/>
          <w:color w:val="auto"/>
        </w:rPr>
        <w:t>Zielsetzung</w:t>
      </w:r>
    </w:p>
    <w:p w14:paraId="56EEAE98" w14:textId="77777777" w:rsidR="00C61F2D" w:rsidRPr="006F0BF5" w:rsidRDefault="00542FBD" w:rsidP="00C61F2D">
      <w:pPr>
        <w:rPr>
          <w:rFonts w:cs="Arial"/>
        </w:rPr>
      </w:pPr>
      <w:r w:rsidRPr="006F0BF5">
        <w:rPr>
          <w:rFonts w:cs="Arial"/>
        </w:rPr>
        <w:t>Die BRK schreibt den Zugang zu einem „</w:t>
      </w:r>
      <w:r w:rsidR="002E436D">
        <w:rPr>
          <w:rFonts w:cs="Arial"/>
        </w:rPr>
        <w:t>i</w:t>
      </w:r>
      <w:r w:rsidRPr="006F0BF5">
        <w:rPr>
          <w:rFonts w:cs="Arial"/>
        </w:rPr>
        <w:t>ntegrativen, hochwertigen [...] Unterricht“ vor, in dem angemessene Vorkehrungen für die Bedürfnisse des Einzelnen getroffen werden (und</w:t>
      </w:r>
      <w:r w:rsidR="00C61F2D" w:rsidRPr="006F0BF5">
        <w:rPr>
          <w:rFonts w:cs="Arial"/>
        </w:rPr>
        <w:t xml:space="preserve"> für</w:t>
      </w:r>
      <w:r w:rsidRPr="006F0BF5">
        <w:rPr>
          <w:rFonts w:cs="Arial"/>
        </w:rPr>
        <w:t xml:space="preserve">) Menschen mit Behinderungen innerhalb des allgemeinen Bildungssystems die notwendige </w:t>
      </w:r>
      <w:proofErr w:type="spellStart"/>
      <w:r w:rsidRPr="006F0BF5">
        <w:rPr>
          <w:rFonts w:cs="Arial"/>
        </w:rPr>
        <w:t>Unterstützung</w:t>
      </w:r>
      <w:proofErr w:type="spellEnd"/>
      <w:r w:rsidRPr="006F0BF5">
        <w:rPr>
          <w:rFonts w:cs="Arial"/>
        </w:rPr>
        <w:t xml:space="preserve"> geleistet wird, um ihre erfolgreiche Bildung zu erleichtern</w:t>
      </w:r>
      <w:r w:rsidR="00C61F2D" w:rsidRPr="006F0BF5">
        <w:rPr>
          <w:rFonts w:cs="Arial"/>
        </w:rPr>
        <w:t xml:space="preserve"> (, sowie) in </w:t>
      </w:r>
      <w:proofErr w:type="spellStart"/>
      <w:r w:rsidR="00C61F2D" w:rsidRPr="006F0BF5">
        <w:rPr>
          <w:rFonts w:cs="Arial"/>
        </w:rPr>
        <w:t>Übereinstimmung</w:t>
      </w:r>
      <w:proofErr w:type="spellEnd"/>
      <w:r w:rsidR="00C61F2D" w:rsidRPr="006F0BF5">
        <w:rPr>
          <w:rFonts w:cs="Arial"/>
        </w:rPr>
        <w:t xml:space="preserve"> mit dem Ziel der </w:t>
      </w:r>
      <w:proofErr w:type="spellStart"/>
      <w:r w:rsidR="00C61F2D" w:rsidRPr="006F0BF5">
        <w:rPr>
          <w:rFonts w:cs="Arial"/>
        </w:rPr>
        <w:t>vollständigen</w:t>
      </w:r>
      <w:proofErr w:type="spellEnd"/>
      <w:r w:rsidR="00C61F2D" w:rsidRPr="006F0BF5">
        <w:rPr>
          <w:rFonts w:cs="Arial"/>
        </w:rPr>
        <w:t xml:space="preserve"> Integration wirksame individuell angepasste </w:t>
      </w:r>
      <w:proofErr w:type="spellStart"/>
      <w:r w:rsidR="00C61F2D" w:rsidRPr="006F0BF5">
        <w:rPr>
          <w:rFonts w:cs="Arial"/>
        </w:rPr>
        <w:t>Unterstützungsmaßnahmen</w:t>
      </w:r>
      <w:proofErr w:type="spellEnd"/>
      <w:r w:rsidR="00C61F2D" w:rsidRPr="006F0BF5">
        <w:rPr>
          <w:rFonts w:cs="Arial"/>
        </w:rPr>
        <w:t xml:space="preserve"> in einem Umfeld, das die </w:t>
      </w:r>
      <w:proofErr w:type="spellStart"/>
      <w:r w:rsidR="00C61F2D" w:rsidRPr="006F0BF5">
        <w:rPr>
          <w:rFonts w:cs="Arial"/>
        </w:rPr>
        <w:t>bestmögliche</w:t>
      </w:r>
      <w:proofErr w:type="spellEnd"/>
      <w:r w:rsidR="00C61F2D" w:rsidRPr="006F0BF5">
        <w:rPr>
          <w:rFonts w:cs="Arial"/>
        </w:rPr>
        <w:t xml:space="preserve"> schulische und soziale Entwicklung gestattet, angeboten werden.“ (BRK; 2006)</w:t>
      </w:r>
    </w:p>
    <w:p w14:paraId="1DACD782" w14:textId="77777777" w:rsidR="00542FBD" w:rsidRPr="006F0BF5" w:rsidRDefault="00542FBD" w:rsidP="00542FBD">
      <w:pPr>
        <w:rPr>
          <w:rFonts w:cs="Arial"/>
        </w:rPr>
      </w:pPr>
    </w:p>
    <w:p w14:paraId="0AD46B59" w14:textId="77777777" w:rsidR="00C61F2D" w:rsidRPr="006F0BF5" w:rsidRDefault="00C61F2D" w:rsidP="00542FBD">
      <w:pPr>
        <w:rPr>
          <w:rFonts w:cs="Arial"/>
        </w:rPr>
      </w:pPr>
      <w:r w:rsidRPr="006F0BF5">
        <w:rPr>
          <w:rFonts w:cs="Arial"/>
        </w:rPr>
        <w:t xml:space="preserve">Die Hochschulrektorenkonferenz und die Kultusministerkonferenz reagieren in ihrer  gemeinsamen Empfehlung zur „Lehrerbildung für eine Schule der Vielfalt“ </w:t>
      </w:r>
      <w:r w:rsidR="006E052B" w:rsidRPr="006F0BF5">
        <w:rPr>
          <w:rFonts w:cs="Arial"/>
        </w:rPr>
        <w:t>(2015)</w:t>
      </w:r>
      <w:r w:rsidR="00623A2C" w:rsidRPr="006F0BF5">
        <w:rPr>
          <w:rFonts w:cs="Arial"/>
        </w:rPr>
        <w:t xml:space="preserve"> </w:t>
      </w:r>
      <w:r w:rsidRPr="006F0BF5">
        <w:rPr>
          <w:rFonts w:cs="Arial"/>
        </w:rPr>
        <w:t>e</w:t>
      </w:r>
      <w:r w:rsidR="006E052B" w:rsidRPr="006F0BF5">
        <w:rPr>
          <w:rFonts w:cs="Arial"/>
        </w:rPr>
        <w:t>ntsprechend auf diese Forderung:</w:t>
      </w:r>
      <w:r w:rsidRPr="006F0BF5">
        <w:rPr>
          <w:rFonts w:cs="Arial"/>
        </w:rPr>
        <w:t xml:space="preserve"> </w:t>
      </w:r>
    </w:p>
    <w:p w14:paraId="1226F600" w14:textId="77777777" w:rsidR="00093265" w:rsidRPr="006F0BF5" w:rsidRDefault="00C61F2D" w:rsidP="00093265">
      <w:pPr>
        <w:rPr>
          <w:rFonts w:cs="Arial"/>
        </w:rPr>
      </w:pPr>
      <w:r w:rsidRPr="006F0BF5">
        <w:rPr>
          <w:rFonts w:cs="Arial"/>
        </w:rPr>
        <w:t>„Im Vorbereitungsdienst müssen künftige Lehrerinnen und Lehrer in die Lage versetzt werden, diagnostische Verfahren anzuwenden, im Unterricht eine Vielfalt von Lernzugängen in Form von vielfältigen Aufgaben und Themenstell</w:t>
      </w:r>
      <w:r w:rsidR="00093265" w:rsidRPr="006F0BF5">
        <w:rPr>
          <w:rFonts w:cs="Arial"/>
        </w:rPr>
        <w:t>ungen auf unterschiedlichen Hand</w:t>
      </w:r>
      <w:r w:rsidRPr="006F0BF5">
        <w:rPr>
          <w:rFonts w:cs="Arial"/>
        </w:rPr>
        <w:t>lungsniveaus anzubieten und den Unterricht kontinuierlich evaluieren zu können.“</w:t>
      </w:r>
      <w:r w:rsidR="006E052B" w:rsidRPr="006F0BF5">
        <w:rPr>
          <w:rFonts w:cs="Arial"/>
        </w:rPr>
        <w:t xml:space="preserve"> (KMK/HRK; 2015)</w:t>
      </w:r>
    </w:p>
    <w:p w14:paraId="7BB8081B" w14:textId="77777777" w:rsidR="000C14E2" w:rsidRPr="006F6019" w:rsidRDefault="000C14E2" w:rsidP="000C14E2">
      <w:pPr>
        <w:pStyle w:val="StandardWeb"/>
        <w:rPr>
          <w:rFonts w:ascii="Arial" w:hAnsi="Arial" w:cs="Arial"/>
          <w:b/>
          <w:bCs/>
          <w:sz w:val="24"/>
          <w:szCs w:val="24"/>
        </w:rPr>
      </w:pPr>
      <w:r w:rsidRPr="006F6019">
        <w:rPr>
          <w:rFonts w:ascii="Arial" w:hAnsi="Arial" w:cs="Arial"/>
          <w:b/>
          <w:bCs/>
          <w:sz w:val="24"/>
          <w:szCs w:val="24"/>
        </w:rPr>
        <w:t xml:space="preserve">Die zukünftigen Lehrerinnen und Lehrer im Förderschwerpunkt Sehen benötigen </w:t>
      </w:r>
      <w:r w:rsidR="00E7764B" w:rsidRPr="006F6019">
        <w:rPr>
          <w:rFonts w:ascii="Arial" w:hAnsi="Arial" w:cs="Arial"/>
          <w:b/>
          <w:bCs/>
          <w:sz w:val="24"/>
          <w:szCs w:val="24"/>
        </w:rPr>
        <w:t xml:space="preserve">dafür </w:t>
      </w:r>
      <w:r w:rsidR="002E436D" w:rsidRPr="006F6019">
        <w:rPr>
          <w:rFonts w:ascii="Arial" w:hAnsi="Arial" w:cs="Arial"/>
          <w:b/>
          <w:bCs/>
          <w:sz w:val="24"/>
          <w:szCs w:val="24"/>
        </w:rPr>
        <w:t>eine</w:t>
      </w:r>
      <w:r w:rsidR="00387261" w:rsidRPr="006F6019">
        <w:rPr>
          <w:rFonts w:ascii="Arial" w:hAnsi="Arial" w:cs="Arial"/>
          <w:b/>
          <w:bCs/>
          <w:sz w:val="24"/>
          <w:szCs w:val="24"/>
        </w:rPr>
        <w:t xml:space="preserve"> </w:t>
      </w:r>
      <w:r w:rsidRPr="006F6019">
        <w:rPr>
          <w:rFonts w:ascii="Arial" w:hAnsi="Arial" w:cs="Arial"/>
          <w:b/>
          <w:bCs/>
          <w:sz w:val="24"/>
          <w:szCs w:val="24"/>
        </w:rPr>
        <w:t xml:space="preserve">zweite </w:t>
      </w:r>
      <w:r w:rsidR="002E436D" w:rsidRPr="006F6019">
        <w:rPr>
          <w:rFonts w:ascii="Arial" w:hAnsi="Arial" w:cs="Arial"/>
          <w:b/>
          <w:bCs/>
          <w:sz w:val="24"/>
          <w:szCs w:val="24"/>
        </w:rPr>
        <w:t>Ausbildungsphase mit einer</w:t>
      </w:r>
      <w:r w:rsidRPr="006F6019">
        <w:rPr>
          <w:rFonts w:ascii="Arial" w:hAnsi="Arial" w:cs="Arial"/>
          <w:b/>
          <w:bCs/>
          <w:sz w:val="24"/>
          <w:szCs w:val="24"/>
        </w:rPr>
        <w:t xml:space="preserve"> qualifizierte</w:t>
      </w:r>
      <w:r w:rsidR="002E436D" w:rsidRPr="006F6019">
        <w:rPr>
          <w:rFonts w:ascii="Arial" w:hAnsi="Arial" w:cs="Arial"/>
          <w:b/>
          <w:bCs/>
          <w:sz w:val="24"/>
          <w:szCs w:val="24"/>
        </w:rPr>
        <w:t>n</w:t>
      </w:r>
      <w:r w:rsidRPr="006F6019">
        <w:rPr>
          <w:rFonts w:ascii="Arial" w:hAnsi="Arial" w:cs="Arial"/>
          <w:b/>
          <w:bCs/>
          <w:sz w:val="24"/>
          <w:szCs w:val="24"/>
        </w:rPr>
        <w:t xml:space="preserve"> und fundierte</w:t>
      </w:r>
      <w:r w:rsidR="002E436D" w:rsidRPr="006F6019">
        <w:rPr>
          <w:rFonts w:ascii="Arial" w:hAnsi="Arial" w:cs="Arial"/>
          <w:b/>
          <w:bCs/>
          <w:sz w:val="24"/>
          <w:szCs w:val="24"/>
        </w:rPr>
        <w:t>n</w:t>
      </w:r>
      <w:r w:rsidRPr="006F6019">
        <w:rPr>
          <w:rFonts w:ascii="Arial" w:hAnsi="Arial" w:cs="Arial"/>
          <w:b/>
          <w:bCs/>
          <w:sz w:val="24"/>
          <w:szCs w:val="24"/>
        </w:rPr>
        <w:t xml:space="preserve"> </w:t>
      </w:r>
      <w:r w:rsidR="006E052B" w:rsidRPr="006F6019">
        <w:rPr>
          <w:rFonts w:ascii="Arial" w:hAnsi="Arial" w:cs="Arial"/>
          <w:b/>
          <w:bCs/>
          <w:sz w:val="24"/>
          <w:szCs w:val="24"/>
        </w:rPr>
        <w:t>förderschwerpunkt</w:t>
      </w:r>
      <w:r w:rsidRPr="006F6019">
        <w:rPr>
          <w:rFonts w:ascii="Arial" w:hAnsi="Arial" w:cs="Arial"/>
          <w:b/>
          <w:bCs/>
          <w:sz w:val="24"/>
          <w:szCs w:val="24"/>
        </w:rPr>
        <w:t>spezifische</w:t>
      </w:r>
      <w:r w:rsidR="002E436D" w:rsidRPr="006F6019">
        <w:rPr>
          <w:rFonts w:ascii="Arial" w:hAnsi="Arial" w:cs="Arial"/>
          <w:b/>
          <w:bCs/>
          <w:sz w:val="24"/>
          <w:szCs w:val="24"/>
        </w:rPr>
        <w:t>n</w:t>
      </w:r>
      <w:r w:rsidRPr="006F6019">
        <w:rPr>
          <w:rFonts w:ascii="Arial" w:hAnsi="Arial" w:cs="Arial"/>
          <w:b/>
          <w:bCs/>
          <w:sz w:val="24"/>
          <w:szCs w:val="24"/>
        </w:rPr>
        <w:t xml:space="preserve"> Ausbildung, die sie auf die Vielfalt der zukünftigen Aufgaben vorbereitet. </w:t>
      </w:r>
    </w:p>
    <w:p w14:paraId="5E1BF728" w14:textId="74647439" w:rsidR="00AB522D" w:rsidRPr="006F0BF5" w:rsidRDefault="00AB522D" w:rsidP="00AB522D">
      <w:pPr>
        <w:rPr>
          <w:rFonts w:cs="Arial"/>
        </w:rPr>
      </w:pPr>
      <w:r w:rsidRPr="006F0BF5">
        <w:rPr>
          <w:rFonts w:cs="Arial"/>
        </w:rPr>
        <w:t xml:space="preserve">In Anbetracht der vielfältigen und sehr unterschiedlichen Ausbildungsbedingungen vor Ort sowie der Heterogenität der Anwärterinnen und Anwärter </w:t>
      </w:r>
      <w:r w:rsidR="002E436D">
        <w:rPr>
          <w:rFonts w:cs="Arial"/>
        </w:rPr>
        <w:t>hat der Arbeitskreis 2. Ausbildungsphase sich</w:t>
      </w:r>
      <w:r w:rsidR="006E052B" w:rsidRPr="006F0BF5">
        <w:rPr>
          <w:rFonts w:cs="Arial"/>
        </w:rPr>
        <w:t xml:space="preserve"> auf</w:t>
      </w:r>
      <w:r w:rsidRPr="006F0BF5">
        <w:rPr>
          <w:rFonts w:cs="Arial"/>
        </w:rPr>
        <w:t xml:space="preserve"> folgende zentrale</w:t>
      </w:r>
      <w:r w:rsidR="000C14E2" w:rsidRPr="006F0BF5">
        <w:rPr>
          <w:rFonts w:cs="Arial"/>
        </w:rPr>
        <w:t xml:space="preserve"> Kompetenzen als Orientierung für eine zukunftsfähige Ausbildung in der 2. Phase</w:t>
      </w:r>
      <w:r w:rsidR="006E052B" w:rsidRPr="006F0BF5">
        <w:rPr>
          <w:rFonts w:cs="Arial"/>
        </w:rPr>
        <w:t xml:space="preserve"> verständigt:</w:t>
      </w:r>
      <w:r w:rsidR="006E052B" w:rsidRPr="006F0BF5">
        <w:rPr>
          <w:rStyle w:val="Funotenzeichen"/>
          <w:rFonts w:cs="Arial"/>
        </w:rPr>
        <w:t xml:space="preserve"> </w:t>
      </w:r>
    </w:p>
    <w:p w14:paraId="393EFDA4" w14:textId="77777777" w:rsidR="006F6019" w:rsidRDefault="006F6019" w:rsidP="00542FBD">
      <w:pPr>
        <w:pStyle w:val="StandardWeb"/>
        <w:rPr>
          <w:rFonts w:ascii="Arial" w:hAnsi="Arial" w:cs="Arial"/>
          <w:i/>
          <w:sz w:val="24"/>
          <w:szCs w:val="24"/>
        </w:rPr>
      </w:pPr>
    </w:p>
    <w:p w14:paraId="3BFBBA3A" w14:textId="77777777" w:rsidR="006F6019" w:rsidRDefault="006F6019" w:rsidP="00542FBD">
      <w:pPr>
        <w:pStyle w:val="StandardWeb"/>
        <w:rPr>
          <w:rFonts w:ascii="Arial" w:hAnsi="Arial" w:cs="Arial"/>
          <w:i/>
          <w:sz w:val="24"/>
          <w:szCs w:val="24"/>
        </w:rPr>
      </w:pPr>
    </w:p>
    <w:p w14:paraId="71E5A367" w14:textId="40955572" w:rsidR="00093265" w:rsidRPr="006F0BF5" w:rsidRDefault="00AB522D" w:rsidP="00542FBD">
      <w:pPr>
        <w:pStyle w:val="StandardWeb"/>
        <w:rPr>
          <w:rFonts w:ascii="Arial" w:hAnsi="Arial" w:cs="Arial"/>
          <w:i/>
          <w:sz w:val="24"/>
          <w:szCs w:val="24"/>
        </w:rPr>
      </w:pPr>
      <w:r w:rsidRPr="006F0BF5">
        <w:rPr>
          <w:rFonts w:ascii="Arial" w:hAnsi="Arial" w:cs="Arial"/>
          <w:i/>
          <w:sz w:val="24"/>
          <w:szCs w:val="24"/>
        </w:rPr>
        <w:lastRenderedPageBreak/>
        <w:t>Die zukünftigen Lehrerinnen und Lehrer</w:t>
      </w:r>
    </w:p>
    <w:p w14:paraId="11BA9983" w14:textId="77777777" w:rsidR="00AB522D" w:rsidRPr="006F0BF5" w:rsidRDefault="00AB522D" w:rsidP="00AB522D">
      <w:pPr>
        <w:pStyle w:val="StandardWeb"/>
        <w:numPr>
          <w:ilvl w:val="0"/>
          <w:numId w:val="1"/>
        </w:numPr>
        <w:rPr>
          <w:rFonts w:ascii="Arial" w:hAnsi="Arial" w:cs="Arial"/>
          <w:sz w:val="24"/>
          <w:szCs w:val="24"/>
        </w:rPr>
      </w:pPr>
      <w:r w:rsidRPr="006F0BF5">
        <w:rPr>
          <w:rFonts w:ascii="Arial" w:hAnsi="Arial" w:cs="Arial"/>
          <w:sz w:val="24"/>
          <w:szCs w:val="24"/>
        </w:rPr>
        <w:t>kennen die Vielfalt der Kinder und Jugendlichen mit einem Anspruch auf ein sonderpädagogisches Beratungs- oder Bildungsangebot im Förderschwerpunkt Sehen</w:t>
      </w:r>
      <w:r w:rsidR="00623A2C" w:rsidRPr="006F0BF5">
        <w:rPr>
          <w:rFonts w:ascii="Arial" w:hAnsi="Arial" w:cs="Arial"/>
          <w:sz w:val="24"/>
          <w:szCs w:val="24"/>
        </w:rPr>
        <w:t>;</w:t>
      </w:r>
    </w:p>
    <w:p w14:paraId="3E9FEA11" w14:textId="77777777" w:rsidR="00AB522D" w:rsidRPr="006F0BF5" w:rsidRDefault="00AB522D" w:rsidP="00AB522D">
      <w:pPr>
        <w:pStyle w:val="StandardWeb"/>
        <w:numPr>
          <w:ilvl w:val="0"/>
          <w:numId w:val="1"/>
        </w:numPr>
        <w:rPr>
          <w:rFonts w:ascii="Arial" w:hAnsi="Arial" w:cs="Arial"/>
          <w:sz w:val="24"/>
          <w:szCs w:val="24"/>
        </w:rPr>
      </w:pPr>
      <w:r w:rsidRPr="006F0BF5">
        <w:rPr>
          <w:rFonts w:ascii="Arial" w:hAnsi="Arial" w:cs="Arial"/>
          <w:sz w:val="24"/>
          <w:szCs w:val="24"/>
        </w:rPr>
        <w:t>entwickeln ein Bewusstsein für die unterschiedlichen Arbeitsfelder im Förderschwerpunkt Sehen (frühkindliche Bildung, Frühförderung, Unterricht im Förderzentrum und an der allgemeinen Schule, Beratung, ...)</w:t>
      </w:r>
      <w:r w:rsidR="00623A2C" w:rsidRPr="006F0BF5">
        <w:rPr>
          <w:rFonts w:ascii="Arial" w:hAnsi="Arial" w:cs="Arial"/>
          <w:sz w:val="24"/>
          <w:szCs w:val="24"/>
        </w:rPr>
        <w:t>;</w:t>
      </w:r>
    </w:p>
    <w:p w14:paraId="17E35FDA" w14:textId="77777777" w:rsidR="00AB522D" w:rsidRPr="006F0BF5" w:rsidRDefault="00AB522D" w:rsidP="000C14E2">
      <w:pPr>
        <w:rPr>
          <w:rFonts w:cs="Arial"/>
          <w:b/>
        </w:rPr>
      </w:pPr>
      <w:r w:rsidRPr="006F0BF5">
        <w:rPr>
          <w:rFonts w:cs="Arial"/>
          <w:b/>
        </w:rPr>
        <w:t xml:space="preserve">Erziehung </w:t>
      </w:r>
    </w:p>
    <w:p w14:paraId="08E0E13A" w14:textId="77777777" w:rsidR="00AB522D" w:rsidRPr="006F0BF5" w:rsidRDefault="00AB522D" w:rsidP="00AB522D">
      <w:pPr>
        <w:pStyle w:val="Listenabsatz"/>
        <w:numPr>
          <w:ilvl w:val="0"/>
          <w:numId w:val="1"/>
        </w:numPr>
        <w:rPr>
          <w:rFonts w:cs="Arial"/>
        </w:rPr>
      </w:pPr>
      <w:r w:rsidRPr="006F0BF5">
        <w:rPr>
          <w:rFonts w:cs="Arial"/>
        </w:rPr>
        <w:t>kennen die Besonderheiten sozialer Entwicklungen Schüler</w:t>
      </w:r>
      <w:r w:rsidR="00623A2C" w:rsidRPr="006F0BF5">
        <w:rPr>
          <w:rFonts w:cs="Arial"/>
        </w:rPr>
        <w:t>innen und Schüler</w:t>
      </w:r>
      <w:r w:rsidR="002E436D">
        <w:rPr>
          <w:rFonts w:cs="Arial"/>
        </w:rPr>
        <w:t xml:space="preserve"> mit Blindheit oder Sehbeeinträchtigung</w:t>
      </w:r>
      <w:r w:rsidR="00623A2C" w:rsidRPr="006F0BF5">
        <w:rPr>
          <w:rFonts w:cs="Arial"/>
        </w:rPr>
        <w:t>;</w:t>
      </w:r>
      <w:r w:rsidRPr="006F0BF5">
        <w:rPr>
          <w:rFonts w:cs="Arial"/>
        </w:rPr>
        <w:t xml:space="preserve"> </w:t>
      </w:r>
    </w:p>
    <w:p w14:paraId="362D15EF" w14:textId="77777777" w:rsidR="00AB522D" w:rsidRPr="006F0BF5" w:rsidRDefault="00AB522D" w:rsidP="00AB522D">
      <w:pPr>
        <w:pStyle w:val="Listenabsatz"/>
        <w:numPr>
          <w:ilvl w:val="0"/>
          <w:numId w:val="1"/>
        </w:numPr>
        <w:rPr>
          <w:rFonts w:cs="Arial"/>
        </w:rPr>
      </w:pPr>
      <w:r w:rsidRPr="006F0BF5">
        <w:rPr>
          <w:rFonts w:cs="Arial"/>
        </w:rPr>
        <w:t xml:space="preserve">unterstützen und stärken die Entwicklung personaler und sozialer Kompetenzen </w:t>
      </w:r>
      <w:r w:rsidR="002E436D">
        <w:rPr>
          <w:rFonts w:cs="Arial"/>
        </w:rPr>
        <w:t xml:space="preserve">von </w:t>
      </w:r>
      <w:r w:rsidR="002E436D" w:rsidRPr="006F0BF5">
        <w:rPr>
          <w:rFonts w:cs="Arial"/>
        </w:rPr>
        <w:t>Schülerinnen und Schüler</w:t>
      </w:r>
      <w:r w:rsidR="002E436D">
        <w:rPr>
          <w:rFonts w:cs="Arial"/>
        </w:rPr>
        <w:t>n mit Blindheit oder Sehbeeinträchtigung</w:t>
      </w:r>
      <w:r w:rsidR="002E436D" w:rsidRPr="006F0BF5">
        <w:rPr>
          <w:rFonts w:cs="Arial"/>
        </w:rPr>
        <w:t>;</w:t>
      </w:r>
    </w:p>
    <w:p w14:paraId="7AAF3D93" w14:textId="77777777" w:rsidR="00417DA9" w:rsidRPr="006F0BF5" w:rsidRDefault="00417DA9" w:rsidP="00AB522D">
      <w:pPr>
        <w:rPr>
          <w:rFonts w:cs="Arial"/>
          <w:b/>
        </w:rPr>
      </w:pPr>
    </w:p>
    <w:p w14:paraId="2FDA22BF" w14:textId="77777777" w:rsidR="00AB522D" w:rsidRPr="006F0BF5" w:rsidRDefault="00AB522D" w:rsidP="00AB522D">
      <w:pPr>
        <w:rPr>
          <w:rFonts w:cs="Arial"/>
          <w:b/>
        </w:rPr>
      </w:pPr>
      <w:r w:rsidRPr="006F0BF5">
        <w:rPr>
          <w:rFonts w:cs="Arial"/>
          <w:b/>
        </w:rPr>
        <w:t xml:space="preserve">Gestaltung von </w:t>
      </w:r>
      <w:r w:rsidR="00417DA9" w:rsidRPr="006F0BF5">
        <w:rPr>
          <w:rFonts w:cs="Arial"/>
          <w:b/>
        </w:rPr>
        <w:t>Bildungsangeboten</w:t>
      </w:r>
      <w:r w:rsidRPr="006F0BF5">
        <w:rPr>
          <w:rFonts w:cs="Arial"/>
          <w:b/>
        </w:rPr>
        <w:t xml:space="preserve"> </w:t>
      </w:r>
    </w:p>
    <w:p w14:paraId="5E73B40E" w14:textId="77777777" w:rsidR="00AB522D" w:rsidRPr="006F0BF5" w:rsidRDefault="00AB522D" w:rsidP="00AB522D">
      <w:pPr>
        <w:pStyle w:val="Listenabsatz"/>
        <w:numPr>
          <w:ilvl w:val="0"/>
          <w:numId w:val="2"/>
        </w:numPr>
        <w:rPr>
          <w:rFonts w:cs="Arial"/>
        </w:rPr>
      </w:pPr>
      <w:r w:rsidRPr="006F0BF5">
        <w:rPr>
          <w:rFonts w:cs="Arial"/>
        </w:rPr>
        <w:t>kennen blinden- und sehbehindertenspezifische fachdidaktische Konzepte und Umsetzungsmöglichkeiten und sind in der Lage, diese anwendungsbezogen zu reflektieren</w:t>
      </w:r>
      <w:r w:rsidR="00623A2C" w:rsidRPr="006F0BF5">
        <w:rPr>
          <w:rFonts w:cs="Arial"/>
        </w:rPr>
        <w:t>;</w:t>
      </w:r>
    </w:p>
    <w:p w14:paraId="17CF5F8B" w14:textId="77777777" w:rsidR="00AB522D" w:rsidRPr="006F0BF5" w:rsidRDefault="00AB522D" w:rsidP="00AB522D">
      <w:pPr>
        <w:pStyle w:val="Listenabsatz"/>
        <w:numPr>
          <w:ilvl w:val="0"/>
          <w:numId w:val="2"/>
        </w:numPr>
        <w:rPr>
          <w:rFonts w:cs="Arial"/>
        </w:rPr>
      </w:pPr>
      <w:r w:rsidRPr="006F0BF5">
        <w:rPr>
          <w:rFonts w:cs="Arial"/>
        </w:rPr>
        <w:t>integrieren das spezifische Curriculum</w:t>
      </w:r>
      <w:r w:rsidRPr="006F0BF5">
        <w:rPr>
          <w:rStyle w:val="Funotenzeichen"/>
          <w:rFonts w:cs="Arial"/>
        </w:rPr>
        <w:footnoteReference w:id="1"/>
      </w:r>
      <w:r w:rsidRPr="006F0BF5">
        <w:rPr>
          <w:rFonts w:cs="Arial"/>
        </w:rPr>
        <w:t xml:space="preserve"> in ihren unterschiedlichen Arbeitsfeldern</w:t>
      </w:r>
      <w:r w:rsidR="00623A2C" w:rsidRPr="006F0BF5">
        <w:rPr>
          <w:rFonts w:cs="Arial"/>
        </w:rPr>
        <w:t>;</w:t>
      </w:r>
    </w:p>
    <w:p w14:paraId="099124E7" w14:textId="77777777" w:rsidR="00AB522D" w:rsidRPr="006F0BF5" w:rsidRDefault="00AB522D" w:rsidP="00AB522D">
      <w:pPr>
        <w:pStyle w:val="Listenabsatz"/>
        <w:numPr>
          <w:ilvl w:val="0"/>
          <w:numId w:val="2"/>
        </w:numPr>
        <w:rPr>
          <w:rFonts w:cs="Arial"/>
        </w:rPr>
      </w:pPr>
      <w:r w:rsidRPr="006F0BF5">
        <w:rPr>
          <w:rFonts w:cs="Arial"/>
        </w:rPr>
        <w:t>setzen Prinzipien</w:t>
      </w:r>
      <w:r w:rsidRPr="006F0BF5">
        <w:rPr>
          <w:rStyle w:val="Funotenzeichen"/>
          <w:rFonts w:cs="Arial"/>
        </w:rPr>
        <w:footnoteReference w:id="2"/>
      </w:r>
      <w:r w:rsidR="002E436D">
        <w:rPr>
          <w:rFonts w:cs="Arial"/>
        </w:rPr>
        <w:t xml:space="preserve"> der Didaktik und Methodik des Förderschwerpunkts Sehen </w:t>
      </w:r>
      <w:r w:rsidRPr="006F0BF5">
        <w:rPr>
          <w:rFonts w:cs="Arial"/>
        </w:rPr>
        <w:t>im Unterricht um</w:t>
      </w:r>
      <w:r w:rsidR="00623A2C" w:rsidRPr="006F0BF5">
        <w:rPr>
          <w:rFonts w:cs="Arial"/>
        </w:rPr>
        <w:t>;</w:t>
      </w:r>
    </w:p>
    <w:p w14:paraId="20415762" w14:textId="77777777" w:rsidR="00AB522D" w:rsidRPr="006F0BF5" w:rsidRDefault="00AB522D" w:rsidP="00AB522D">
      <w:pPr>
        <w:pStyle w:val="Listenabsatz"/>
        <w:numPr>
          <w:ilvl w:val="0"/>
          <w:numId w:val="2"/>
        </w:numPr>
        <w:rPr>
          <w:rFonts w:cs="Arial"/>
        </w:rPr>
      </w:pPr>
      <w:r w:rsidRPr="006F0BF5">
        <w:rPr>
          <w:rFonts w:cs="Arial"/>
        </w:rPr>
        <w:t>wenden Kriterien der optimalen Gestaltung blinden</w:t>
      </w:r>
      <w:r w:rsidR="00673715" w:rsidRPr="006F0BF5">
        <w:rPr>
          <w:rFonts w:cs="Arial"/>
        </w:rPr>
        <w:t>-</w:t>
      </w:r>
      <w:r w:rsidRPr="006F0BF5">
        <w:rPr>
          <w:rFonts w:cs="Arial"/>
        </w:rPr>
        <w:t xml:space="preserve"> und sehbehindertenspezifischer Lehr- und Lernmittel und der Lernumgebung an</w:t>
      </w:r>
      <w:r w:rsidR="00623A2C" w:rsidRPr="006F0BF5">
        <w:rPr>
          <w:rFonts w:cs="Arial"/>
        </w:rPr>
        <w:t>;</w:t>
      </w:r>
    </w:p>
    <w:p w14:paraId="05C21D8D" w14:textId="77777777" w:rsidR="00AB522D" w:rsidRPr="006F0BF5" w:rsidRDefault="00AB522D" w:rsidP="00AB522D">
      <w:pPr>
        <w:pStyle w:val="Listenabsatz"/>
        <w:numPr>
          <w:ilvl w:val="0"/>
          <w:numId w:val="2"/>
        </w:numPr>
        <w:rPr>
          <w:rFonts w:cs="Arial"/>
        </w:rPr>
      </w:pPr>
      <w:r w:rsidRPr="006F0BF5">
        <w:rPr>
          <w:rFonts w:cs="Arial"/>
        </w:rPr>
        <w:t>gestalten Differenzierungsmaßnahmen unter besonderer Berücksichtigung der spezifischen Zugänge für Schülerinnen und Schüler mit Blindheit oder Sehbe</w:t>
      </w:r>
      <w:r w:rsidR="002E436D">
        <w:rPr>
          <w:rFonts w:cs="Arial"/>
        </w:rPr>
        <w:t>einträchtigung</w:t>
      </w:r>
      <w:r w:rsidR="00623A2C" w:rsidRPr="006F0BF5">
        <w:rPr>
          <w:rFonts w:cs="Arial"/>
        </w:rPr>
        <w:t>;</w:t>
      </w:r>
    </w:p>
    <w:p w14:paraId="02F460A0" w14:textId="77777777" w:rsidR="00AB522D" w:rsidRPr="006F0BF5" w:rsidRDefault="00AB522D" w:rsidP="00AB522D">
      <w:pPr>
        <w:pStyle w:val="Listenabsatz"/>
        <w:numPr>
          <w:ilvl w:val="0"/>
          <w:numId w:val="2"/>
        </w:numPr>
        <w:rPr>
          <w:rFonts w:cs="Arial"/>
        </w:rPr>
      </w:pPr>
      <w:r w:rsidRPr="006F0BF5">
        <w:rPr>
          <w:rFonts w:cs="Arial"/>
        </w:rPr>
        <w:t xml:space="preserve">unterstützen die Kooperation und Interaktion zwischen Schülerinnen und Schülern in der Lerngruppe unter Berücksichtigung der besonderen Bedingung des Nicht- oder </w:t>
      </w:r>
      <w:r w:rsidR="002E436D">
        <w:rPr>
          <w:rFonts w:cs="Arial"/>
        </w:rPr>
        <w:t>A</w:t>
      </w:r>
      <w:r w:rsidRPr="006F0BF5">
        <w:rPr>
          <w:rFonts w:cs="Arial"/>
        </w:rPr>
        <w:t>nders-Sehens</w:t>
      </w:r>
      <w:r w:rsidR="00623A2C" w:rsidRPr="006F0BF5">
        <w:rPr>
          <w:rFonts w:cs="Arial"/>
        </w:rPr>
        <w:t>;</w:t>
      </w:r>
      <w:r w:rsidRPr="006F0BF5">
        <w:rPr>
          <w:rFonts w:cs="Arial"/>
        </w:rPr>
        <w:t xml:space="preserve"> </w:t>
      </w:r>
    </w:p>
    <w:p w14:paraId="742B88A7" w14:textId="77777777" w:rsidR="00AB522D" w:rsidRPr="006F0BF5" w:rsidRDefault="00AB522D" w:rsidP="00AB522D">
      <w:pPr>
        <w:rPr>
          <w:rFonts w:cs="Arial"/>
        </w:rPr>
      </w:pPr>
    </w:p>
    <w:p w14:paraId="45266728" w14:textId="77777777" w:rsidR="00AB522D" w:rsidRPr="006F0BF5" w:rsidRDefault="00AB522D" w:rsidP="00AB522D">
      <w:pPr>
        <w:rPr>
          <w:rFonts w:cs="Arial"/>
          <w:b/>
        </w:rPr>
      </w:pPr>
      <w:r w:rsidRPr="006F0BF5">
        <w:rPr>
          <w:rFonts w:cs="Arial"/>
          <w:b/>
        </w:rPr>
        <w:t>Diagnostik, Förderplanung und Leistungsbewertung</w:t>
      </w:r>
    </w:p>
    <w:p w14:paraId="6D503714" w14:textId="77777777" w:rsidR="00AB522D" w:rsidRPr="006F0BF5" w:rsidRDefault="00AB522D" w:rsidP="00AB522D">
      <w:pPr>
        <w:pStyle w:val="Listenabsatz"/>
        <w:numPr>
          <w:ilvl w:val="0"/>
          <w:numId w:val="2"/>
        </w:numPr>
        <w:rPr>
          <w:rFonts w:cs="Arial"/>
        </w:rPr>
      </w:pPr>
      <w:r w:rsidRPr="006F0BF5">
        <w:rPr>
          <w:rFonts w:cs="Arial"/>
        </w:rPr>
        <w:t>können Verfahren zur Diagnostik des funktionalen Sehvermögens durchführen,  interpretieren Testergebnisse und berücksichtigen diese bei der Förderung des Schülers/der Schülerin</w:t>
      </w:r>
      <w:r w:rsidR="00623A2C" w:rsidRPr="006F0BF5">
        <w:rPr>
          <w:rFonts w:cs="Arial"/>
        </w:rPr>
        <w:t>;</w:t>
      </w:r>
    </w:p>
    <w:p w14:paraId="395DFA65" w14:textId="77777777" w:rsidR="00AB522D" w:rsidRPr="006F0BF5" w:rsidRDefault="00AB522D" w:rsidP="00AB522D">
      <w:pPr>
        <w:pStyle w:val="Listenabsatz"/>
        <w:numPr>
          <w:ilvl w:val="0"/>
          <w:numId w:val="2"/>
        </w:numPr>
        <w:rPr>
          <w:rFonts w:cs="Arial"/>
        </w:rPr>
      </w:pPr>
      <w:r w:rsidRPr="006F0BF5">
        <w:rPr>
          <w:rFonts w:cs="Arial"/>
        </w:rPr>
        <w:t xml:space="preserve">können die Eignung allgemeiner diagnostischer Instrumente und Verfahren für Kinder, Jugendliche und junge Erwachsene </w:t>
      </w:r>
      <w:r w:rsidR="002E436D">
        <w:rPr>
          <w:rFonts w:cs="Arial"/>
        </w:rPr>
        <w:t xml:space="preserve">mit Blindheit oder Sehbeeinträchtigung </w:t>
      </w:r>
      <w:r w:rsidRPr="006F0BF5">
        <w:rPr>
          <w:rFonts w:cs="Arial"/>
        </w:rPr>
        <w:t>beurteile</w:t>
      </w:r>
      <w:r w:rsidR="00623A2C" w:rsidRPr="006F0BF5">
        <w:rPr>
          <w:rFonts w:cs="Arial"/>
        </w:rPr>
        <w:t>n und gegebenenfalls adaptieren;</w:t>
      </w:r>
      <w:r w:rsidRPr="006F0BF5">
        <w:rPr>
          <w:rFonts w:cs="Arial"/>
        </w:rPr>
        <w:t xml:space="preserve"> </w:t>
      </w:r>
    </w:p>
    <w:p w14:paraId="655BBF8B" w14:textId="77777777" w:rsidR="00AB522D" w:rsidRPr="006F0BF5" w:rsidRDefault="00AB522D" w:rsidP="00AB522D">
      <w:pPr>
        <w:pStyle w:val="Listenabsatz"/>
        <w:numPr>
          <w:ilvl w:val="0"/>
          <w:numId w:val="2"/>
        </w:numPr>
        <w:rPr>
          <w:rFonts w:cs="Arial"/>
        </w:rPr>
      </w:pPr>
      <w:r w:rsidRPr="006F0BF5">
        <w:rPr>
          <w:rFonts w:cs="Arial"/>
        </w:rPr>
        <w:t>lesen und verstehen externe Gutachten (z.B. Augenarzt, Psychologe...)</w:t>
      </w:r>
      <w:r w:rsidR="00623A2C" w:rsidRPr="006F0BF5">
        <w:rPr>
          <w:rFonts w:cs="Arial"/>
        </w:rPr>
        <w:t>;</w:t>
      </w:r>
    </w:p>
    <w:p w14:paraId="0BD022F2" w14:textId="77777777" w:rsidR="00AB522D" w:rsidRPr="006F0BF5" w:rsidRDefault="00AB522D" w:rsidP="00AB522D">
      <w:pPr>
        <w:pStyle w:val="Listenabsatz"/>
        <w:numPr>
          <w:ilvl w:val="0"/>
          <w:numId w:val="2"/>
        </w:numPr>
        <w:rPr>
          <w:rFonts w:cs="Arial"/>
        </w:rPr>
      </w:pPr>
      <w:r w:rsidRPr="006F0BF5">
        <w:rPr>
          <w:rFonts w:cs="Arial"/>
        </w:rPr>
        <w:t>erstellen in Kooperation mit den an den jeweiligen Bildungs- und Erziehungsprozessen beteiligten Personen einen individuellen Förderplan</w:t>
      </w:r>
    </w:p>
    <w:p w14:paraId="4AD96386" w14:textId="77777777" w:rsidR="00AB522D" w:rsidRPr="006F0BF5" w:rsidRDefault="00AB522D" w:rsidP="00AB522D">
      <w:pPr>
        <w:pStyle w:val="Listenabsatz"/>
        <w:rPr>
          <w:rFonts w:cs="Arial"/>
        </w:rPr>
      </w:pPr>
      <w:r w:rsidRPr="006F0BF5">
        <w:rPr>
          <w:rFonts w:cs="Arial"/>
        </w:rPr>
        <w:t>und wenden ihn in Unterricht- und Erziehungsprozessen an</w:t>
      </w:r>
      <w:r w:rsidR="00623A2C" w:rsidRPr="006F0BF5">
        <w:rPr>
          <w:rFonts w:cs="Arial"/>
        </w:rPr>
        <w:t>;</w:t>
      </w:r>
      <w:r w:rsidRPr="006F0BF5">
        <w:rPr>
          <w:rFonts w:cs="Arial"/>
        </w:rPr>
        <w:t xml:space="preserve"> </w:t>
      </w:r>
    </w:p>
    <w:p w14:paraId="10CBDBB5" w14:textId="77777777" w:rsidR="00AB522D" w:rsidRPr="006F0BF5" w:rsidRDefault="00AB522D" w:rsidP="00AB522D">
      <w:pPr>
        <w:pStyle w:val="Listenabsatz"/>
        <w:numPr>
          <w:ilvl w:val="0"/>
          <w:numId w:val="2"/>
        </w:numPr>
        <w:rPr>
          <w:rFonts w:cs="Arial"/>
        </w:rPr>
      </w:pPr>
      <w:r w:rsidRPr="006F0BF5">
        <w:rPr>
          <w:rFonts w:cs="Arial"/>
        </w:rPr>
        <w:t>kennen die Grundlagen des Nachteilsausgleichs und wenden ggf. spezifische Kriterien zur Leistungsmessung an</w:t>
      </w:r>
      <w:r w:rsidR="00623A2C" w:rsidRPr="006F0BF5">
        <w:rPr>
          <w:rFonts w:cs="Arial"/>
        </w:rPr>
        <w:t>;</w:t>
      </w:r>
    </w:p>
    <w:p w14:paraId="77B861ED" w14:textId="77777777" w:rsidR="00AB522D" w:rsidRPr="006F0BF5" w:rsidRDefault="00AB522D" w:rsidP="00AB522D">
      <w:pPr>
        <w:pStyle w:val="Listenabsatz"/>
        <w:numPr>
          <w:ilvl w:val="0"/>
          <w:numId w:val="2"/>
        </w:numPr>
        <w:rPr>
          <w:rFonts w:cs="Arial"/>
        </w:rPr>
      </w:pPr>
      <w:r w:rsidRPr="006F0BF5">
        <w:rPr>
          <w:rFonts w:cs="Arial"/>
        </w:rPr>
        <w:t>verfügen über Kenntnisse zur Gutachtenerstellung</w:t>
      </w:r>
    </w:p>
    <w:p w14:paraId="7791C39F" w14:textId="77777777" w:rsidR="00AB522D" w:rsidRPr="006F0BF5" w:rsidRDefault="00AB522D" w:rsidP="00AB522D">
      <w:pPr>
        <w:pStyle w:val="Listenabsatz"/>
        <w:rPr>
          <w:rFonts w:cs="Arial"/>
        </w:rPr>
      </w:pPr>
    </w:p>
    <w:p w14:paraId="2E0A94C9" w14:textId="77777777" w:rsidR="00AB522D" w:rsidRPr="006F0BF5" w:rsidRDefault="00AB522D" w:rsidP="00AB522D">
      <w:pPr>
        <w:rPr>
          <w:rFonts w:cs="Arial"/>
          <w:b/>
        </w:rPr>
      </w:pPr>
      <w:r w:rsidRPr="006F0BF5">
        <w:rPr>
          <w:rFonts w:cs="Arial"/>
          <w:b/>
        </w:rPr>
        <w:lastRenderedPageBreak/>
        <w:t xml:space="preserve">Kooperation und Beratung </w:t>
      </w:r>
    </w:p>
    <w:p w14:paraId="66FABDC1" w14:textId="77777777" w:rsidR="00AB522D" w:rsidRPr="006F0BF5" w:rsidRDefault="00AB522D" w:rsidP="00AB522D">
      <w:pPr>
        <w:pStyle w:val="Listenabsatz"/>
        <w:numPr>
          <w:ilvl w:val="0"/>
          <w:numId w:val="2"/>
        </w:numPr>
        <w:rPr>
          <w:rFonts w:cs="Arial"/>
        </w:rPr>
      </w:pPr>
      <w:r w:rsidRPr="006F0BF5">
        <w:rPr>
          <w:rFonts w:cs="Arial"/>
        </w:rPr>
        <w:t>gestalten Kooperationsprozesse gewinnbringend</w:t>
      </w:r>
      <w:r w:rsidR="00266F54" w:rsidRPr="006F0BF5">
        <w:rPr>
          <w:rFonts w:cs="Arial"/>
        </w:rPr>
        <w:t>;</w:t>
      </w:r>
    </w:p>
    <w:p w14:paraId="3C4E940B" w14:textId="77777777" w:rsidR="00AB522D" w:rsidRPr="006F0BF5" w:rsidRDefault="00AB522D" w:rsidP="00AB522D">
      <w:pPr>
        <w:pStyle w:val="Listenabsatz"/>
        <w:numPr>
          <w:ilvl w:val="0"/>
          <w:numId w:val="3"/>
        </w:numPr>
        <w:rPr>
          <w:rFonts w:cs="Arial"/>
        </w:rPr>
      </w:pPr>
      <w:r w:rsidRPr="006F0BF5">
        <w:rPr>
          <w:rFonts w:cs="Arial"/>
        </w:rPr>
        <w:t>können ihre sonderpädagogische Förderung adressatenbezogen darstellen</w:t>
      </w:r>
      <w:r w:rsidR="00266F54" w:rsidRPr="006F0BF5">
        <w:rPr>
          <w:rFonts w:cs="Arial"/>
        </w:rPr>
        <w:t>;</w:t>
      </w:r>
    </w:p>
    <w:p w14:paraId="2D92384C" w14:textId="77777777" w:rsidR="000C14E2" w:rsidRPr="00083532" w:rsidRDefault="004C7150" w:rsidP="00045EE3">
      <w:pPr>
        <w:pStyle w:val="Listenabsatz"/>
        <w:numPr>
          <w:ilvl w:val="0"/>
          <w:numId w:val="3"/>
        </w:numPr>
        <w:rPr>
          <w:rFonts w:cs="Arial"/>
        </w:rPr>
      </w:pPr>
      <w:r w:rsidRPr="00083532">
        <w:rPr>
          <w:rFonts w:eastAsia="Times New Roman" w:cs="Arial"/>
          <w:color w:val="000000"/>
        </w:rPr>
        <w:t xml:space="preserve">können ihre eigene Expertise in multiprofessionellen Teams (u.a. </w:t>
      </w:r>
      <w:proofErr w:type="spellStart"/>
      <w:r w:rsidRPr="00083532">
        <w:rPr>
          <w:rFonts w:eastAsia="Times New Roman" w:cs="Arial"/>
          <w:color w:val="000000"/>
        </w:rPr>
        <w:t>Rehabiliationslehrkräfte</w:t>
      </w:r>
      <w:proofErr w:type="spellEnd"/>
      <w:r w:rsidRPr="00083532">
        <w:rPr>
          <w:rFonts w:eastAsia="Times New Roman" w:cs="Arial"/>
          <w:color w:val="000000"/>
        </w:rPr>
        <w:t xml:space="preserve"> für LPF und O&amp;M) einbringen</w:t>
      </w:r>
    </w:p>
    <w:p w14:paraId="5D868E54" w14:textId="77777777" w:rsidR="006F0BF5" w:rsidRPr="002E436D" w:rsidRDefault="006F0BF5" w:rsidP="006F0BF5">
      <w:pPr>
        <w:pStyle w:val="Listenabsatz"/>
        <w:rPr>
          <w:rFonts w:cs="Arial"/>
        </w:rPr>
      </w:pPr>
    </w:p>
    <w:p w14:paraId="0E0F1ABD" w14:textId="77777777" w:rsidR="00AB522D" w:rsidRPr="002E436D" w:rsidRDefault="00AB522D" w:rsidP="00AB522D">
      <w:pPr>
        <w:rPr>
          <w:rFonts w:cs="Arial"/>
          <w:b/>
        </w:rPr>
      </w:pPr>
      <w:r w:rsidRPr="002E436D">
        <w:rPr>
          <w:rFonts w:cs="Arial"/>
          <w:b/>
        </w:rPr>
        <w:t>Personale Kompetenzen, Beruf, Rolle</w:t>
      </w:r>
    </w:p>
    <w:p w14:paraId="74817F8D" w14:textId="77777777" w:rsidR="0031168E" w:rsidRPr="002E436D" w:rsidRDefault="00266F54" w:rsidP="00542FBD">
      <w:pPr>
        <w:pStyle w:val="Listenabsatz"/>
        <w:numPr>
          <w:ilvl w:val="0"/>
          <w:numId w:val="2"/>
        </w:numPr>
        <w:rPr>
          <w:rFonts w:cs="Arial"/>
        </w:rPr>
      </w:pPr>
      <w:r w:rsidRPr="002E436D">
        <w:rPr>
          <w:rFonts w:cs="Arial"/>
        </w:rPr>
        <w:t>v</w:t>
      </w:r>
      <w:r w:rsidR="00AB522D" w:rsidRPr="002E436D">
        <w:rPr>
          <w:rFonts w:cs="Arial"/>
        </w:rPr>
        <w:t>erfügen über Strategien zur Selbstorganisation und zum Zeitmanagement</w:t>
      </w:r>
      <w:r w:rsidRPr="002E436D">
        <w:rPr>
          <w:rFonts w:cs="Arial"/>
        </w:rPr>
        <w:t>;</w:t>
      </w:r>
    </w:p>
    <w:p w14:paraId="27073B96" w14:textId="77777777" w:rsidR="004C7150" w:rsidRPr="00083532" w:rsidRDefault="004C7150" w:rsidP="004C7150">
      <w:pPr>
        <w:pStyle w:val="Listenabsatz"/>
        <w:numPr>
          <w:ilvl w:val="0"/>
          <w:numId w:val="2"/>
        </w:numPr>
        <w:rPr>
          <w:rFonts w:eastAsia="Times New Roman" w:cs="Arial"/>
        </w:rPr>
      </w:pPr>
      <w:r w:rsidRPr="00083532">
        <w:rPr>
          <w:rFonts w:eastAsia="Times New Roman" w:cs="Arial"/>
          <w:color w:val="000000"/>
        </w:rPr>
        <w:t>weisen eine kompetenzorientierte, wertschätzende sonderpädagogische Haltung auf</w:t>
      </w:r>
    </w:p>
    <w:p w14:paraId="5B85AA9B" w14:textId="77777777" w:rsidR="004C7150" w:rsidRPr="006F0BF5" w:rsidRDefault="004C7150" w:rsidP="004C7150">
      <w:pPr>
        <w:pStyle w:val="Listenabsatz"/>
        <w:rPr>
          <w:rFonts w:cs="Arial"/>
        </w:rPr>
      </w:pPr>
    </w:p>
    <w:p w14:paraId="31EED03B" w14:textId="77777777" w:rsidR="00624BEA" w:rsidRPr="006F0BF5" w:rsidRDefault="00624BEA" w:rsidP="00FE6F62">
      <w:pPr>
        <w:pStyle w:val="berschrift2"/>
        <w:rPr>
          <w:rFonts w:ascii="Arial" w:hAnsi="Arial" w:cs="Arial"/>
          <w:color w:val="auto"/>
        </w:rPr>
      </w:pPr>
      <w:r w:rsidRPr="006F0BF5">
        <w:rPr>
          <w:rFonts w:ascii="Arial" w:hAnsi="Arial" w:cs="Arial"/>
          <w:color w:val="auto"/>
        </w:rPr>
        <w:t>Forderungen</w:t>
      </w:r>
    </w:p>
    <w:p w14:paraId="31B72BB2" w14:textId="77777777" w:rsidR="000C14E2" w:rsidRPr="006F0BF5" w:rsidRDefault="00266F54" w:rsidP="00542FBD">
      <w:pPr>
        <w:pStyle w:val="StandardWeb"/>
        <w:rPr>
          <w:rFonts w:ascii="Arial" w:hAnsi="Arial" w:cs="Arial"/>
          <w:sz w:val="24"/>
          <w:szCs w:val="24"/>
        </w:rPr>
      </w:pPr>
      <w:r w:rsidRPr="006F0BF5">
        <w:rPr>
          <w:rFonts w:ascii="Arial" w:hAnsi="Arial" w:cs="Arial"/>
          <w:sz w:val="24"/>
          <w:szCs w:val="24"/>
        </w:rPr>
        <w:t xml:space="preserve">Aus oben ausgeführter </w:t>
      </w:r>
      <w:r w:rsidR="000C14E2" w:rsidRPr="006F0BF5">
        <w:rPr>
          <w:rFonts w:ascii="Arial" w:hAnsi="Arial" w:cs="Arial"/>
          <w:sz w:val="24"/>
          <w:szCs w:val="24"/>
        </w:rPr>
        <w:t>Zi</w:t>
      </w:r>
      <w:r w:rsidRPr="006F0BF5">
        <w:rPr>
          <w:rFonts w:ascii="Arial" w:hAnsi="Arial" w:cs="Arial"/>
          <w:sz w:val="24"/>
          <w:szCs w:val="24"/>
        </w:rPr>
        <w:t xml:space="preserve">elsetzung ergeben sich </w:t>
      </w:r>
      <w:r w:rsidR="0031168E" w:rsidRPr="006F0BF5">
        <w:rPr>
          <w:rFonts w:ascii="Arial" w:hAnsi="Arial" w:cs="Arial"/>
          <w:sz w:val="24"/>
          <w:szCs w:val="24"/>
        </w:rPr>
        <w:t>Forderungen</w:t>
      </w:r>
      <w:r w:rsidR="000C14E2" w:rsidRPr="006F0BF5">
        <w:rPr>
          <w:rFonts w:ascii="Arial" w:hAnsi="Arial" w:cs="Arial"/>
          <w:sz w:val="24"/>
          <w:szCs w:val="24"/>
        </w:rPr>
        <w:t xml:space="preserve">, die für die erfolgreiche Gestaltung der Ausbildung zukünftiger Lehrerinnen und Lehrer unabdingbar sind. </w:t>
      </w:r>
    </w:p>
    <w:p w14:paraId="790CCE1F" w14:textId="12F6AA1B" w:rsidR="00C24166" w:rsidRPr="00C24166" w:rsidRDefault="00417DA9" w:rsidP="006F0BF5">
      <w:pPr>
        <w:rPr>
          <w:rFonts w:cs="Arial"/>
          <w:b/>
          <w:bCs/>
        </w:rPr>
      </w:pPr>
      <w:r w:rsidRPr="00C24166">
        <w:rPr>
          <w:rFonts w:cs="Arial"/>
          <w:b/>
          <w:bCs/>
        </w:rPr>
        <w:t xml:space="preserve">Die </w:t>
      </w:r>
      <w:r w:rsidR="000C14E2" w:rsidRPr="00C24166">
        <w:rPr>
          <w:rFonts w:cs="Arial"/>
          <w:b/>
          <w:bCs/>
        </w:rPr>
        <w:t>Ausbildung von Lehrerinnen und Lehrer</w:t>
      </w:r>
      <w:r w:rsidRPr="00C24166">
        <w:rPr>
          <w:rFonts w:cs="Arial"/>
          <w:b/>
          <w:bCs/>
        </w:rPr>
        <w:t>n</w:t>
      </w:r>
      <w:r w:rsidR="000C14E2" w:rsidRPr="00C24166">
        <w:rPr>
          <w:rFonts w:cs="Arial"/>
          <w:b/>
          <w:bCs/>
        </w:rPr>
        <w:t xml:space="preserve"> </w:t>
      </w:r>
      <w:r w:rsidRPr="00C24166">
        <w:rPr>
          <w:rFonts w:cs="Arial"/>
          <w:b/>
          <w:bCs/>
        </w:rPr>
        <w:t xml:space="preserve">im Förderschwerpunkt Sehen </w:t>
      </w:r>
      <w:r w:rsidR="000C14E2" w:rsidRPr="00C24166">
        <w:rPr>
          <w:rFonts w:cs="Arial"/>
          <w:b/>
          <w:bCs/>
        </w:rPr>
        <w:t>erfordert nach</w:t>
      </w:r>
      <w:r w:rsidRPr="00C24166">
        <w:rPr>
          <w:rFonts w:cs="Arial"/>
          <w:b/>
          <w:bCs/>
        </w:rPr>
        <w:t xml:space="preserve"> der universitären Ausbildung im Förderschwerpunkt eine begleitete Praxisphase, die ebenfalls förderschwerpunktbezogen ausgelegt ist. </w:t>
      </w:r>
    </w:p>
    <w:p w14:paraId="2BEA5A53" w14:textId="092CEE0D" w:rsidR="00417DA9" w:rsidRPr="006F0BF5" w:rsidRDefault="00332456" w:rsidP="00542FBD">
      <w:pPr>
        <w:pStyle w:val="StandardWeb"/>
        <w:rPr>
          <w:rFonts w:ascii="Arial" w:hAnsi="Arial" w:cs="Arial"/>
          <w:sz w:val="24"/>
          <w:szCs w:val="24"/>
        </w:rPr>
      </w:pPr>
      <w:r w:rsidRPr="006F0BF5">
        <w:rPr>
          <w:rFonts w:ascii="Arial" w:hAnsi="Arial" w:cs="Arial"/>
          <w:sz w:val="24"/>
          <w:szCs w:val="24"/>
        </w:rPr>
        <w:t xml:space="preserve">Die Praxisanteile der Ausbildung </w:t>
      </w:r>
      <w:proofErr w:type="gramStart"/>
      <w:r w:rsidRPr="006F0BF5">
        <w:rPr>
          <w:rFonts w:ascii="Arial" w:hAnsi="Arial" w:cs="Arial"/>
          <w:sz w:val="24"/>
          <w:szCs w:val="24"/>
        </w:rPr>
        <w:t>sollte</w:t>
      </w:r>
      <w:proofErr w:type="gramEnd"/>
      <w:r w:rsidRPr="006F0BF5">
        <w:rPr>
          <w:rFonts w:ascii="Arial" w:hAnsi="Arial" w:cs="Arial"/>
          <w:sz w:val="24"/>
          <w:szCs w:val="24"/>
        </w:rPr>
        <w:t xml:space="preserve"> die Vielfalt der Schülerschaft und der Bildungsangebote </w:t>
      </w:r>
      <w:r w:rsidR="006F67E9">
        <w:rPr>
          <w:rFonts w:ascii="Arial" w:hAnsi="Arial" w:cs="Arial"/>
          <w:sz w:val="24"/>
          <w:szCs w:val="24"/>
        </w:rPr>
        <w:t>abbilden</w:t>
      </w:r>
      <w:r w:rsidRPr="006F0BF5">
        <w:rPr>
          <w:rFonts w:ascii="Arial" w:hAnsi="Arial" w:cs="Arial"/>
          <w:sz w:val="24"/>
          <w:szCs w:val="24"/>
        </w:rPr>
        <w:t xml:space="preserve">. Dabei ist es wichtig, dass das Praxisfeld „Unterricht“ zur Grundqualifizierung </w:t>
      </w:r>
      <w:r w:rsidR="006F67E9">
        <w:rPr>
          <w:rFonts w:ascii="Arial" w:hAnsi="Arial" w:cs="Arial"/>
          <w:sz w:val="24"/>
          <w:szCs w:val="24"/>
        </w:rPr>
        <w:t>enthalten ist</w:t>
      </w:r>
      <w:r w:rsidRPr="006F0BF5">
        <w:rPr>
          <w:rFonts w:ascii="Arial" w:hAnsi="Arial" w:cs="Arial"/>
          <w:sz w:val="24"/>
          <w:szCs w:val="24"/>
        </w:rPr>
        <w:t xml:space="preserve">. </w:t>
      </w:r>
      <w:r w:rsidR="002656DF" w:rsidRPr="006F0BF5">
        <w:rPr>
          <w:rFonts w:ascii="Arial" w:hAnsi="Arial" w:cs="Arial"/>
          <w:sz w:val="24"/>
          <w:szCs w:val="24"/>
        </w:rPr>
        <w:br/>
      </w:r>
      <w:r w:rsidR="00A20B4E" w:rsidRPr="006F0BF5">
        <w:rPr>
          <w:rFonts w:ascii="Arial" w:hAnsi="Arial" w:cs="Arial"/>
          <w:sz w:val="24"/>
          <w:szCs w:val="24"/>
        </w:rPr>
        <w:t>Ob das Praxisfeld „Unterricht“ in inklusiven Settings oder in einer Förderschule absolviert wird, ist von den Gegebenheiten des Seminarstandortes abhängig.</w:t>
      </w:r>
      <w:r w:rsidR="00A20B4E" w:rsidRPr="006F0BF5">
        <w:rPr>
          <w:rFonts w:ascii="Arial" w:hAnsi="Arial" w:cs="Arial"/>
          <w:sz w:val="24"/>
          <w:szCs w:val="24"/>
        </w:rPr>
        <w:br/>
        <w:t xml:space="preserve">Bei der Ausbildung in der Berufspraxis muss jedoch die Möglichkeit bestehen, ein Bildungs- und/oder Beratungsangebot in einem inklusiven Setting oder im Bereich Frühförderung zu gestalten. </w:t>
      </w:r>
      <w:r w:rsidR="00A20B4E" w:rsidRPr="006F0BF5">
        <w:rPr>
          <w:rFonts w:ascii="Arial" w:hAnsi="Arial" w:cs="Arial"/>
          <w:sz w:val="24"/>
          <w:szCs w:val="24"/>
        </w:rPr>
        <w:br/>
      </w:r>
      <w:r w:rsidRPr="006F0BF5">
        <w:rPr>
          <w:rFonts w:ascii="Arial" w:hAnsi="Arial" w:cs="Arial"/>
          <w:sz w:val="24"/>
          <w:szCs w:val="24"/>
        </w:rPr>
        <w:t>Eine Anbindung der Anw</w:t>
      </w:r>
      <w:r w:rsidR="006843D3" w:rsidRPr="006F0BF5">
        <w:rPr>
          <w:rFonts w:ascii="Arial" w:hAnsi="Arial" w:cs="Arial"/>
          <w:sz w:val="24"/>
          <w:szCs w:val="24"/>
        </w:rPr>
        <w:t xml:space="preserve">ärterinnen und Anwärter an </w:t>
      </w:r>
      <w:r w:rsidR="00276723" w:rsidRPr="006F0BF5">
        <w:rPr>
          <w:rFonts w:ascii="Arial" w:hAnsi="Arial" w:cs="Arial"/>
          <w:sz w:val="24"/>
          <w:szCs w:val="24"/>
        </w:rPr>
        <w:t>ein</w:t>
      </w:r>
      <w:r w:rsidRPr="006F0BF5">
        <w:rPr>
          <w:rFonts w:ascii="Arial" w:hAnsi="Arial" w:cs="Arial"/>
          <w:sz w:val="24"/>
          <w:szCs w:val="24"/>
        </w:rPr>
        <w:t xml:space="preserve"> Förder- oder Kompetenzzentrum, bzw. einer Förderschule mit dem Förderschwerpunkt Sehen ist für den Austausch und die Sicherung einer förderschwerpunktbezogenen Ausbildung zwingend notwendig.</w:t>
      </w:r>
    </w:p>
    <w:p w14:paraId="5897F792" w14:textId="77777777" w:rsidR="00332456" w:rsidRPr="006F0BF5" w:rsidRDefault="00332456" w:rsidP="00542FBD">
      <w:pPr>
        <w:pStyle w:val="StandardWeb"/>
        <w:rPr>
          <w:rFonts w:ascii="Arial" w:hAnsi="Arial" w:cs="Arial"/>
          <w:sz w:val="24"/>
          <w:szCs w:val="24"/>
        </w:rPr>
      </w:pPr>
      <w:r w:rsidRPr="006F0BF5">
        <w:rPr>
          <w:rFonts w:ascii="Arial" w:hAnsi="Arial" w:cs="Arial"/>
          <w:sz w:val="24"/>
          <w:szCs w:val="24"/>
        </w:rPr>
        <w:t>Die Begleitung im Praxisfeld sollte möglichst von Mentorinnen und Mentoren aus dem Förderschwerpunkt Sehen erfolgen, die hierfür Anrechnungsstunden erhalten, die der Anforderung der Arbeit tatsächlich gerecht werden. Außerdem sollte eine kontinuierliche Qualifizierung der Mentorinnen und Mentoren gewährleistet sein.</w:t>
      </w:r>
    </w:p>
    <w:p w14:paraId="50693CFD" w14:textId="31BE21B2" w:rsidR="00C24166" w:rsidRPr="00C24166" w:rsidRDefault="00C24166" w:rsidP="00C24166">
      <w:pPr>
        <w:rPr>
          <w:rFonts w:cs="Arial"/>
        </w:rPr>
      </w:pPr>
      <w:r w:rsidRPr="006F6019">
        <w:rPr>
          <w:rFonts w:cs="Arial"/>
          <w:b/>
          <w:bCs/>
        </w:rPr>
        <w:t>Die Strategie, fehlende Sonderpädagoginnen und Pädagogen durch Lehrerinnen und Lehrer der allgemeinen Lehrämter zu ersetzen, die nur in Form von Fort- oder Weiterbildungsmaßnahmen auf ihre Tätigkeit vorbereitet werden, ist aus Sicht des AK 2. Ausbildungsphase abzulehnen.</w:t>
      </w:r>
      <w:r w:rsidRPr="006F0BF5">
        <w:rPr>
          <w:rFonts w:cs="Arial"/>
        </w:rPr>
        <w:t xml:space="preserve"> </w:t>
      </w:r>
      <w:r w:rsidRPr="00861D79">
        <w:rPr>
          <w:rFonts w:cs="Arial"/>
          <w:b/>
          <w:bCs/>
        </w:rPr>
        <w:t xml:space="preserve">Auch der Einsatz von Pädagoginnen und Pädagogen ohne 2. Staatsexamen kann und darf keine Maßnahme sein, </w:t>
      </w:r>
      <w:r w:rsidR="00861D79">
        <w:rPr>
          <w:rFonts w:cs="Arial"/>
          <w:b/>
          <w:bCs/>
        </w:rPr>
        <w:t>den Lehrkräftemangel zu beheben</w:t>
      </w:r>
      <w:r w:rsidRPr="00861D79">
        <w:rPr>
          <w:rFonts w:cs="Arial"/>
          <w:b/>
          <w:bCs/>
        </w:rPr>
        <w:t>.</w:t>
      </w:r>
      <w:r w:rsidRPr="00C24166">
        <w:rPr>
          <w:rFonts w:cs="Arial"/>
        </w:rPr>
        <w:t xml:space="preserve"> Eine </w:t>
      </w:r>
      <w:proofErr w:type="spellStart"/>
      <w:r w:rsidRPr="00C24166">
        <w:rPr>
          <w:rFonts w:cs="Arial"/>
        </w:rPr>
        <w:t>Deprofessionalisierung</w:t>
      </w:r>
      <w:proofErr w:type="spellEnd"/>
      <w:r w:rsidRPr="00C24166">
        <w:rPr>
          <w:rFonts w:cs="Arial"/>
        </w:rPr>
        <w:t xml:space="preserve"> im Bereich der Blinden- und Sehbehindertenpädagogik wird sich langfristig sowohl auf die Qualität des Unterrichts als auch auf die Ausbildung zukünftiger Lehrkräfte negativ auswirken.</w:t>
      </w:r>
    </w:p>
    <w:p w14:paraId="59017893" w14:textId="47FC7732" w:rsidR="00417DA9" w:rsidRPr="006F0BF5" w:rsidRDefault="00332456" w:rsidP="00542FBD">
      <w:pPr>
        <w:pStyle w:val="StandardWeb"/>
        <w:rPr>
          <w:rFonts w:ascii="Arial" w:hAnsi="Arial" w:cs="Arial"/>
          <w:sz w:val="24"/>
          <w:szCs w:val="24"/>
        </w:rPr>
      </w:pPr>
      <w:r w:rsidRPr="006F0BF5">
        <w:rPr>
          <w:rFonts w:ascii="Arial" w:hAnsi="Arial" w:cs="Arial"/>
          <w:sz w:val="24"/>
          <w:szCs w:val="24"/>
        </w:rPr>
        <w:lastRenderedPageBreak/>
        <w:t xml:space="preserve">Zur Sicherung der Arbeit am Seminar und der Kontinuität der Seminarentwicklung ist die Präsenz des Förderschwerpunkts Sehen an den Seminaren für Sonderpädagogik wesentlich. Dies bedeutet, dass </w:t>
      </w:r>
      <w:r w:rsidR="00A20B4E" w:rsidRPr="006F0BF5">
        <w:rPr>
          <w:rFonts w:ascii="Arial" w:hAnsi="Arial" w:cs="Arial"/>
          <w:sz w:val="24"/>
          <w:szCs w:val="24"/>
        </w:rPr>
        <w:t>Seminarlehrkräfte</w:t>
      </w:r>
      <w:r w:rsidRPr="006F0BF5">
        <w:rPr>
          <w:rFonts w:ascii="Arial" w:hAnsi="Arial" w:cs="Arial"/>
          <w:sz w:val="24"/>
          <w:szCs w:val="24"/>
        </w:rPr>
        <w:t xml:space="preserve"> mit einem </w:t>
      </w:r>
      <w:r w:rsidR="00C24166">
        <w:rPr>
          <w:rFonts w:ascii="Arial" w:hAnsi="Arial" w:cs="Arial"/>
          <w:sz w:val="24"/>
          <w:szCs w:val="24"/>
        </w:rPr>
        <w:t>Deputat</w:t>
      </w:r>
      <w:r w:rsidRPr="006F0BF5">
        <w:rPr>
          <w:rFonts w:ascii="Arial" w:hAnsi="Arial" w:cs="Arial"/>
          <w:sz w:val="24"/>
          <w:szCs w:val="24"/>
        </w:rPr>
        <w:t xml:space="preserve"> fest an die Seminare abgeordnet bleiben müssen, auch wenn </w:t>
      </w:r>
      <w:r w:rsidR="00266F54" w:rsidRPr="006F0BF5">
        <w:rPr>
          <w:rFonts w:ascii="Arial" w:hAnsi="Arial" w:cs="Arial"/>
          <w:sz w:val="24"/>
          <w:szCs w:val="24"/>
        </w:rPr>
        <w:t xml:space="preserve">zeitweise </w:t>
      </w:r>
      <w:r w:rsidRPr="006F0BF5">
        <w:rPr>
          <w:rFonts w:ascii="Arial" w:hAnsi="Arial" w:cs="Arial"/>
          <w:sz w:val="24"/>
          <w:szCs w:val="24"/>
        </w:rPr>
        <w:t xml:space="preserve">keine Anwärterinnen oder Anwärter im Förderschwerpunkt Sehen ausgebildet werden. Hier bietet sich eine Einbindung in die Ausbildung anderer Förderschwerpunkte </w:t>
      </w:r>
      <w:r w:rsidR="00A80A58" w:rsidRPr="006F0BF5">
        <w:rPr>
          <w:rFonts w:ascii="Arial" w:hAnsi="Arial" w:cs="Arial"/>
          <w:sz w:val="24"/>
          <w:szCs w:val="24"/>
        </w:rPr>
        <w:t>an, in denen Kinder und Jugendliche mit Sehbe</w:t>
      </w:r>
      <w:r w:rsidR="00861D79">
        <w:rPr>
          <w:rFonts w:ascii="Arial" w:hAnsi="Arial" w:cs="Arial"/>
          <w:sz w:val="24"/>
          <w:szCs w:val="24"/>
        </w:rPr>
        <w:t>einträchtigung</w:t>
      </w:r>
      <w:r w:rsidR="00A80A58" w:rsidRPr="006F0BF5">
        <w:rPr>
          <w:rFonts w:ascii="Arial" w:hAnsi="Arial" w:cs="Arial"/>
          <w:sz w:val="24"/>
          <w:szCs w:val="24"/>
        </w:rPr>
        <w:t xml:space="preserve"> oder Blindheit anzutreffen sind (</w:t>
      </w:r>
      <w:r w:rsidR="00266F54" w:rsidRPr="006F0BF5">
        <w:rPr>
          <w:rFonts w:ascii="Arial" w:hAnsi="Arial" w:cs="Arial"/>
          <w:sz w:val="24"/>
          <w:szCs w:val="24"/>
        </w:rPr>
        <w:t xml:space="preserve">z.B. </w:t>
      </w:r>
      <w:r w:rsidR="00A80A58" w:rsidRPr="006F0BF5">
        <w:rPr>
          <w:rFonts w:ascii="Arial" w:hAnsi="Arial" w:cs="Arial"/>
          <w:sz w:val="24"/>
          <w:szCs w:val="24"/>
        </w:rPr>
        <w:t>geistige und motorische Entwicklung).</w:t>
      </w:r>
    </w:p>
    <w:p w14:paraId="287B85C2" w14:textId="77777777" w:rsidR="00A80A58" w:rsidRPr="00BF601E" w:rsidRDefault="00CD651A" w:rsidP="00542FBD">
      <w:pPr>
        <w:pStyle w:val="StandardWeb"/>
        <w:rPr>
          <w:rFonts w:ascii="Arial" w:hAnsi="Arial" w:cs="Arial"/>
          <w:b/>
          <w:bCs/>
          <w:sz w:val="24"/>
          <w:szCs w:val="24"/>
        </w:rPr>
      </w:pPr>
      <w:r w:rsidRPr="00BF601E">
        <w:rPr>
          <w:rFonts w:ascii="Arial" w:hAnsi="Arial" w:cs="Arial"/>
          <w:b/>
          <w:bCs/>
          <w:sz w:val="24"/>
          <w:szCs w:val="24"/>
        </w:rPr>
        <w:t xml:space="preserve">Wir fordern </w:t>
      </w:r>
      <w:r w:rsidR="00276723" w:rsidRPr="00BF601E">
        <w:rPr>
          <w:rFonts w:ascii="Arial" w:hAnsi="Arial" w:cs="Arial"/>
          <w:b/>
          <w:bCs/>
          <w:sz w:val="24"/>
          <w:szCs w:val="24"/>
        </w:rPr>
        <w:t>bundesweit</w:t>
      </w:r>
      <w:r w:rsidRPr="00BF601E">
        <w:rPr>
          <w:rFonts w:ascii="Arial" w:hAnsi="Arial" w:cs="Arial"/>
          <w:b/>
          <w:bCs/>
          <w:sz w:val="24"/>
          <w:szCs w:val="24"/>
        </w:rPr>
        <w:t xml:space="preserve"> e</w:t>
      </w:r>
      <w:r w:rsidR="00A80A58" w:rsidRPr="00BF601E">
        <w:rPr>
          <w:rFonts w:ascii="Arial" w:hAnsi="Arial" w:cs="Arial"/>
          <w:b/>
          <w:bCs/>
          <w:sz w:val="24"/>
          <w:szCs w:val="24"/>
        </w:rPr>
        <w:t>ine Verbesserung der Arbeitsbedingung</w:t>
      </w:r>
      <w:r w:rsidRPr="00BF601E">
        <w:rPr>
          <w:rFonts w:ascii="Arial" w:hAnsi="Arial" w:cs="Arial"/>
          <w:b/>
          <w:bCs/>
          <w:sz w:val="24"/>
          <w:szCs w:val="24"/>
        </w:rPr>
        <w:t>en der Seminarlehrkräfte</w:t>
      </w:r>
      <w:r w:rsidR="00A80A58" w:rsidRPr="00BF601E">
        <w:rPr>
          <w:rFonts w:ascii="Arial" w:hAnsi="Arial" w:cs="Arial"/>
          <w:b/>
          <w:bCs/>
          <w:sz w:val="24"/>
          <w:szCs w:val="24"/>
        </w:rPr>
        <w:t xml:space="preserve"> in Form </w:t>
      </w:r>
      <w:r w:rsidRPr="00BF601E">
        <w:rPr>
          <w:rFonts w:ascii="Arial" w:hAnsi="Arial" w:cs="Arial"/>
          <w:b/>
          <w:bCs/>
          <w:sz w:val="24"/>
          <w:szCs w:val="24"/>
        </w:rPr>
        <w:t>einer</w:t>
      </w:r>
      <w:r w:rsidR="00A80A58" w:rsidRPr="00BF601E">
        <w:rPr>
          <w:rFonts w:ascii="Arial" w:hAnsi="Arial" w:cs="Arial"/>
          <w:b/>
          <w:bCs/>
          <w:sz w:val="24"/>
          <w:szCs w:val="24"/>
        </w:rPr>
        <w:t xml:space="preserve"> </w:t>
      </w:r>
      <w:r w:rsidRPr="00BF601E">
        <w:rPr>
          <w:rFonts w:ascii="Arial" w:hAnsi="Arial" w:cs="Arial"/>
          <w:b/>
          <w:bCs/>
          <w:sz w:val="24"/>
          <w:szCs w:val="24"/>
        </w:rPr>
        <w:t>kontinuierlichen Abordnung</w:t>
      </w:r>
      <w:r w:rsidR="00A80A58" w:rsidRPr="00BF601E">
        <w:rPr>
          <w:rFonts w:ascii="Arial" w:hAnsi="Arial" w:cs="Arial"/>
          <w:b/>
          <w:bCs/>
          <w:sz w:val="24"/>
          <w:szCs w:val="24"/>
        </w:rPr>
        <w:t>, die d</w:t>
      </w:r>
      <w:r w:rsidRPr="00BF601E">
        <w:rPr>
          <w:rFonts w:ascii="Arial" w:hAnsi="Arial" w:cs="Arial"/>
          <w:b/>
          <w:bCs/>
          <w:sz w:val="24"/>
          <w:szCs w:val="24"/>
        </w:rPr>
        <w:t xml:space="preserve">ie </w:t>
      </w:r>
      <w:r w:rsidR="00A80A58" w:rsidRPr="00BF601E">
        <w:rPr>
          <w:rFonts w:ascii="Arial" w:hAnsi="Arial" w:cs="Arial"/>
          <w:b/>
          <w:bCs/>
          <w:sz w:val="24"/>
          <w:szCs w:val="24"/>
        </w:rPr>
        <w:t>Arbeit am Seminar angemessen honoriert</w:t>
      </w:r>
      <w:r w:rsidRPr="00BF601E">
        <w:rPr>
          <w:rFonts w:ascii="Arial" w:hAnsi="Arial" w:cs="Arial"/>
          <w:b/>
          <w:bCs/>
          <w:sz w:val="24"/>
          <w:szCs w:val="24"/>
        </w:rPr>
        <w:t>. Eine</w:t>
      </w:r>
      <w:r w:rsidR="00A80A58" w:rsidRPr="00BF601E">
        <w:rPr>
          <w:rFonts w:ascii="Arial" w:hAnsi="Arial" w:cs="Arial"/>
          <w:b/>
          <w:bCs/>
          <w:sz w:val="24"/>
          <w:szCs w:val="24"/>
        </w:rPr>
        <w:t xml:space="preserve"> </w:t>
      </w:r>
      <w:r w:rsidRPr="00BF601E">
        <w:rPr>
          <w:rFonts w:ascii="Arial" w:hAnsi="Arial" w:cs="Arial"/>
          <w:b/>
          <w:bCs/>
          <w:sz w:val="24"/>
          <w:szCs w:val="24"/>
        </w:rPr>
        <w:t xml:space="preserve">solche </w:t>
      </w:r>
      <w:r w:rsidR="00A80A58" w:rsidRPr="00BF601E">
        <w:rPr>
          <w:rFonts w:ascii="Arial" w:hAnsi="Arial" w:cs="Arial"/>
          <w:b/>
          <w:bCs/>
          <w:sz w:val="24"/>
          <w:szCs w:val="24"/>
        </w:rPr>
        <w:t xml:space="preserve">Aufwertung der Seminararbeit </w:t>
      </w:r>
      <w:r w:rsidRPr="00BF601E">
        <w:rPr>
          <w:rFonts w:ascii="Arial" w:hAnsi="Arial" w:cs="Arial"/>
          <w:b/>
          <w:bCs/>
          <w:sz w:val="24"/>
          <w:szCs w:val="24"/>
        </w:rPr>
        <w:t>kann in zweiter Linie dazu dienen, Seminarlehrkräfte</w:t>
      </w:r>
      <w:r w:rsidR="00A80A58" w:rsidRPr="00BF601E">
        <w:rPr>
          <w:rFonts w:ascii="Arial" w:hAnsi="Arial" w:cs="Arial"/>
          <w:b/>
          <w:bCs/>
          <w:sz w:val="24"/>
          <w:szCs w:val="24"/>
        </w:rPr>
        <w:t xml:space="preserve"> für die 2. Ausbildungsphase zu gewinnen, </w:t>
      </w:r>
      <w:r w:rsidRPr="00BF601E">
        <w:rPr>
          <w:rFonts w:ascii="Arial" w:hAnsi="Arial" w:cs="Arial"/>
          <w:b/>
          <w:bCs/>
          <w:sz w:val="24"/>
          <w:szCs w:val="24"/>
        </w:rPr>
        <w:t>so dass auch in Zukunft eine hochwertige, spezifische Ausbildung zukünftiger Lehrerinnen und Lehrer im Förderschwerpunkt Sehen gesichert ist.</w:t>
      </w:r>
    </w:p>
    <w:p w14:paraId="25C71B9A" w14:textId="77777777" w:rsidR="007C6904" w:rsidRPr="006F0BF5" w:rsidRDefault="007C6904" w:rsidP="00542FBD">
      <w:pPr>
        <w:pStyle w:val="StandardWeb"/>
        <w:rPr>
          <w:rFonts w:ascii="Arial" w:hAnsi="Arial" w:cs="Arial"/>
          <w:sz w:val="24"/>
          <w:szCs w:val="24"/>
        </w:rPr>
      </w:pPr>
      <w:r w:rsidRPr="006F0BF5">
        <w:rPr>
          <w:rFonts w:ascii="Arial" w:hAnsi="Arial" w:cs="Arial"/>
          <w:sz w:val="24"/>
          <w:szCs w:val="24"/>
        </w:rPr>
        <w:t>Für den AK 2. Ausbildungsphase</w:t>
      </w:r>
    </w:p>
    <w:p w14:paraId="627A984B" w14:textId="77777777" w:rsidR="007C6904" w:rsidRPr="006F0BF5" w:rsidRDefault="007C6904" w:rsidP="00542FBD">
      <w:pPr>
        <w:pStyle w:val="StandardWeb"/>
        <w:rPr>
          <w:rFonts w:ascii="Arial" w:hAnsi="Arial" w:cs="Arial"/>
          <w:sz w:val="24"/>
          <w:szCs w:val="24"/>
        </w:rPr>
      </w:pPr>
      <w:r w:rsidRPr="006F0BF5">
        <w:rPr>
          <w:rFonts w:ascii="Arial" w:hAnsi="Arial" w:cs="Arial"/>
          <w:sz w:val="24"/>
          <w:szCs w:val="24"/>
        </w:rPr>
        <w:t xml:space="preserve">Barbara Wahl, </w:t>
      </w:r>
      <w:r w:rsidR="004C7150" w:rsidRPr="006F0BF5">
        <w:rPr>
          <w:rFonts w:ascii="Arial" w:hAnsi="Arial" w:cs="Arial"/>
          <w:sz w:val="24"/>
          <w:szCs w:val="24"/>
        </w:rPr>
        <w:t>Friederike Arning</w:t>
      </w:r>
    </w:p>
    <w:p w14:paraId="14315BAD" w14:textId="77777777" w:rsidR="00292777" w:rsidRPr="006F0BF5" w:rsidRDefault="00292777" w:rsidP="0031168E">
      <w:pPr>
        <w:pStyle w:val="berschrift2"/>
        <w:rPr>
          <w:rFonts w:ascii="Arial" w:hAnsi="Arial" w:cs="Arial"/>
          <w:color w:val="auto"/>
        </w:rPr>
      </w:pPr>
      <w:bookmarkStart w:id="0" w:name="_Toc330882025"/>
      <w:bookmarkStart w:id="1" w:name="_Toc330882581"/>
      <w:bookmarkStart w:id="2" w:name="_Toc330882821"/>
      <w:r w:rsidRPr="006F0BF5">
        <w:rPr>
          <w:rFonts w:ascii="Arial" w:hAnsi="Arial" w:cs="Arial"/>
          <w:color w:val="auto"/>
        </w:rPr>
        <w:t>Literatur</w:t>
      </w:r>
      <w:bookmarkEnd w:id="0"/>
      <w:bookmarkEnd w:id="1"/>
      <w:bookmarkEnd w:id="2"/>
    </w:p>
    <w:p w14:paraId="4496BAF0" w14:textId="77777777" w:rsidR="00292777" w:rsidRPr="006F0BF5" w:rsidRDefault="00292777" w:rsidP="00292777">
      <w:pPr>
        <w:pStyle w:val="Flietext10"/>
        <w:rPr>
          <w:rFonts w:ascii="Arial" w:hAnsi="Arial" w:cs="Arial"/>
          <w:color w:val="auto"/>
        </w:rPr>
      </w:pPr>
      <w:r w:rsidRPr="006F0BF5">
        <w:rPr>
          <w:rFonts w:ascii="Arial" w:hAnsi="Arial" w:cs="Arial"/>
          <w:color w:val="auto"/>
        </w:rPr>
        <w:t xml:space="preserve">KMK - Kultusministerkonferenz </w:t>
      </w:r>
      <w:r w:rsidR="00673715" w:rsidRPr="006F0BF5">
        <w:rPr>
          <w:rFonts w:ascii="Arial" w:hAnsi="Arial" w:cs="Arial"/>
          <w:color w:val="auto"/>
        </w:rPr>
        <w:t xml:space="preserve">(2004) </w:t>
      </w:r>
      <w:r w:rsidRPr="006F0BF5">
        <w:rPr>
          <w:rFonts w:ascii="Arial" w:hAnsi="Arial" w:cs="Arial"/>
          <w:color w:val="auto"/>
        </w:rPr>
        <w:t xml:space="preserve">Standards </w:t>
      </w:r>
      <w:proofErr w:type="spellStart"/>
      <w:r w:rsidRPr="006F0BF5">
        <w:rPr>
          <w:rFonts w:ascii="Arial" w:hAnsi="Arial" w:cs="Arial"/>
          <w:color w:val="auto"/>
        </w:rPr>
        <w:t>für</w:t>
      </w:r>
      <w:proofErr w:type="spellEnd"/>
      <w:r w:rsidRPr="006F0BF5">
        <w:rPr>
          <w:rFonts w:ascii="Arial" w:hAnsi="Arial" w:cs="Arial"/>
          <w:color w:val="auto"/>
        </w:rPr>
        <w:t xml:space="preserve"> die Lehrerbildung: Bildungswissenschaften (Beschluss der Kultusministerkonferenz vom 16.12.2004 i. d. F. vom 12.06.2014) </w:t>
      </w:r>
    </w:p>
    <w:p w14:paraId="658E60C7" w14:textId="77777777" w:rsidR="00292777" w:rsidRPr="006F0BF5" w:rsidRDefault="00292777" w:rsidP="00292777">
      <w:pPr>
        <w:pStyle w:val="Flietext10"/>
        <w:rPr>
          <w:rFonts w:ascii="Arial" w:hAnsi="Arial" w:cs="Arial"/>
          <w:color w:val="auto"/>
        </w:rPr>
      </w:pPr>
      <w:r w:rsidRPr="006F0BF5">
        <w:rPr>
          <w:rFonts w:ascii="Arial" w:hAnsi="Arial" w:cs="Arial"/>
          <w:color w:val="auto"/>
        </w:rPr>
        <w:t xml:space="preserve">KMK - Kultusministerkonferenz (2012) Ländergemeinsame Anforderungen für die Ausgestaltung des </w:t>
      </w:r>
      <w:r w:rsidR="00726188" w:rsidRPr="006F0BF5">
        <w:rPr>
          <w:rFonts w:ascii="Arial" w:hAnsi="Arial" w:cs="Arial"/>
          <w:color w:val="auto"/>
        </w:rPr>
        <w:t>Vor</w:t>
      </w:r>
      <w:r w:rsidRPr="006F0BF5">
        <w:rPr>
          <w:rFonts w:ascii="Arial" w:hAnsi="Arial" w:cs="Arial"/>
          <w:color w:val="auto"/>
        </w:rPr>
        <w:t>bereitungsdienstes und die abschließende Staatsprüfung (Beschluss der Kultusministerkonferenz vom 06.12.2012).</w:t>
      </w:r>
    </w:p>
    <w:p w14:paraId="22239919" w14:textId="77777777" w:rsidR="00292777" w:rsidRPr="006F0BF5" w:rsidRDefault="00292777" w:rsidP="00292777">
      <w:pPr>
        <w:pStyle w:val="Flietext10"/>
        <w:rPr>
          <w:rFonts w:ascii="Arial" w:hAnsi="Arial" w:cs="Arial"/>
          <w:color w:val="auto"/>
        </w:rPr>
      </w:pPr>
      <w:r w:rsidRPr="006F0BF5">
        <w:rPr>
          <w:rFonts w:ascii="Arial" w:hAnsi="Arial" w:cs="Arial"/>
          <w:color w:val="auto"/>
        </w:rPr>
        <w:t xml:space="preserve">KMK - Kultusministerkonferenz; HRK – Hochschulrektorenkonferenz (2015) Lehrerbildung </w:t>
      </w:r>
      <w:proofErr w:type="spellStart"/>
      <w:r w:rsidRPr="006F0BF5">
        <w:rPr>
          <w:rFonts w:ascii="Arial" w:hAnsi="Arial" w:cs="Arial"/>
          <w:color w:val="auto"/>
        </w:rPr>
        <w:t>für</w:t>
      </w:r>
      <w:proofErr w:type="spellEnd"/>
      <w:r w:rsidRPr="006F0BF5">
        <w:rPr>
          <w:rFonts w:ascii="Arial" w:hAnsi="Arial" w:cs="Arial"/>
          <w:color w:val="auto"/>
        </w:rPr>
        <w:t xml:space="preserve"> eine Schule der Vielfalt (Beschluss der Kultusministerkonferenz vom 12.03.2015/ Beschluss der Hochschulrektorenkonferenz vom 18.03.2015</w:t>
      </w:r>
    </w:p>
    <w:p w14:paraId="4AB50FA6" w14:textId="77777777" w:rsidR="00A20B4E" w:rsidRPr="006F0BF5" w:rsidRDefault="008C1F31" w:rsidP="00292777">
      <w:pPr>
        <w:pStyle w:val="Flietext10"/>
        <w:rPr>
          <w:rFonts w:ascii="Arial" w:hAnsi="Arial" w:cs="Arial"/>
          <w:color w:val="auto"/>
        </w:rPr>
      </w:pPr>
      <w:r w:rsidRPr="006F0BF5">
        <w:rPr>
          <w:rFonts w:ascii="Arial" w:hAnsi="Arial" w:cs="Arial"/>
          <w:color w:val="auto"/>
        </w:rPr>
        <w:t>Lang/Hofer/Beyer (2008)</w:t>
      </w:r>
      <w:r w:rsidR="00A20B4E" w:rsidRPr="006F0BF5">
        <w:rPr>
          <w:rFonts w:ascii="Arial" w:hAnsi="Arial" w:cs="Arial"/>
          <w:color w:val="auto"/>
        </w:rPr>
        <w:t xml:space="preserve"> Didaktik des Unterrichts mit blinden und hochgradig sehbehinderten Schülerinnen und Schülern, Bd. 1</w:t>
      </w:r>
    </w:p>
    <w:p w14:paraId="1F263CA8" w14:textId="77777777" w:rsidR="00A20B4E" w:rsidRPr="006F0BF5" w:rsidRDefault="00292777" w:rsidP="00292777">
      <w:pPr>
        <w:pStyle w:val="Flietext10"/>
        <w:rPr>
          <w:rFonts w:ascii="Arial" w:hAnsi="Arial" w:cs="Arial"/>
          <w:color w:val="auto"/>
        </w:rPr>
      </w:pPr>
      <w:r w:rsidRPr="006F0BF5">
        <w:rPr>
          <w:rFonts w:ascii="Arial" w:hAnsi="Arial" w:cs="Arial"/>
          <w:color w:val="auto"/>
        </w:rPr>
        <w:t xml:space="preserve">UN - United </w:t>
      </w:r>
      <w:proofErr w:type="spellStart"/>
      <w:r w:rsidRPr="006F0BF5">
        <w:rPr>
          <w:rFonts w:ascii="Arial" w:hAnsi="Arial" w:cs="Arial"/>
          <w:color w:val="auto"/>
        </w:rPr>
        <w:t>Nations</w:t>
      </w:r>
      <w:proofErr w:type="spellEnd"/>
      <w:r w:rsidRPr="006F0BF5">
        <w:rPr>
          <w:rFonts w:ascii="Arial" w:hAnsi="Arial" w:cs="Arial"/>
          <w:color w:val="auto"/>
        </w:rPr>
        <w:t xml:space="preserve"> (2006/2008) Übereinkommen über die Rechte von Menschen mit Behinderungen (dreisprachige Fassung im Bundesgesetzblatt Teil II Nr. 35 vom 31.12.2008).</w:t>
      </w:r>
    </w:p>
    <w:p w14:paraId="18F1BB58" w14:textId="77777777" w:rsidR="008C1F31" w:rsidRPr="006F0BF5" w:rsidRDefault="008C1F31" w:rsidP="008C1F31">
      <w:pPr>
        <w:spacing w:before="100" w:beforeAutospacing="1" w:after="100" w:afterAutospacing="1"/>
        <w:rPr>
          <w:rFonts w:cs="Arial"/>
          <w:sz w:val="20"/>
          <w:szCs w:val="20"/>
        </w:rPr>
      </w:pPr>
      <w:r w:rsidRPr="006F0BF5">
        <w:rPr>
          <w:rFonts w:cs="Arial"/>
          <w:sz w:val="20"/>
          <w:szCs w:val="20"/>
        </w:rPr>
        <w:t xml:space="preserve">Verband </w:t>
      </w:r>
      <w:proofErr w:type="spellStart"/>
      <w:r w:rsidRPr="006F0BF5">
        <w:rPr>
          <w:rFonts w:cs="Arial"/>
          <w:sz w:val="20"/>
          <w:szCs w:val="20"/>
        </w:rPr>
        <w:t>für</w:t>
      </w:r>
      <w:proofErr w:type="spellEnd"/>
      <w:r w:rsidRPr="006F0BF5">
        <w:rPr>
          <w:rFonts w:cs="Arial"/>
          <w:sz w:val="20"/>
          <w:szCs w:val="20"/>
        </w:rPr>
        <w:t xml:space="preserve"> Blinden- und </w:t>
      </w:r>
      <w:proofErr w:type="spellStart"/>
      <w:r w:rsidRPr="006F0BF5">
        <w:rPr>
          <w:rFonts w:cs="Arial"/>
          <w:sz w:val="20"/>
          <w:szCs w:val="20"/>
        </w:rPr>
        <w:t>Sehbehindertenpädagogik</w:t>
      </w:r>
      <w:proofErr w:type="spellEnd"/>
      <w:r w:rsidRPr="006F0BF5">
        <w:rPr>
          <w:rFonts w:cs="Arial"/>
          <w:sz w:val="20"/>
          <w:szCs w:val="20"/>
        </w:rPr>
        <w:t xml:space="preserve"> e.V. (VBS) (2011) Bildung, Erziehung und Rehabilitation blinder und sehbehinderter Kinder und Jugendlicher in einer inklusiven Schule in den </w:t>
      </w:r>
      <w:proofErr w:type="spellStart"/>
      <w:r w:rsidRPr="006F0BF5">
        <w:rPr>
          <w:rFonts w:cs="Arial"/>
          <w:sz w:val="20"/>
          <w:szCs w:val="20"/>
        </w:rPr>
        <w:t>Ländern</w:t>
      </w:r>
      <w:proofErr w:type="spellEnd"/>
      <w:r w:rsidRPr="006F0BF5">
        <w:rPr>
          <w:rFonts w:cs="Arial"/>
          <w:sz w:val="20"/>
          <w:szCs w:val="20"/>
        </w:rPr>
        <w:t xml:space="preserve"> des Bundesrepublik Deutschland Standards – Spezifisches Curriculum – Modell-Leistungsbeschreibung (Stand 21.07.2011). </w:t>
      </w:r>
    </w:p>
    <w:p w14:paraId="0CACEF4C" w14:textId="77777777" w:rsidR="008C1F31" w:rsidRPr="006F0BF5" w:rsidRDefault="008C1F31" w:rsidP="008C1F31">
      <w:pPr>
        <w:pStyle w:val="Flietext10"/>
        <w:rPr>
          <w:rFonts w:ascii="Arial" w:hAnsi="Arial" w:cs="Arial"/>
          <w:color w:val="auto"/>
        </w:rPr>
      </w:pPr>
      <w:r w:rsidRPr="006F0BF5">
        <w:rPr>
          <w:rFonts w:ascii="Arial" w:hAnsi="Arial" w:cs="Arial"/>
          <w:color w:val="auto"/>
        </w:rPr>
        <w:t xml:space="preserve">Senatsverwaltung </w:t>
      </w:r>
      <w:proofErr w:type="spellStart"/>
      <w:r w:rsidRPr="006F0BF5">
        <w:rPr>
          <w:rFonts w:ascii="Arial" w:hAnsi="Arial" w:cs="Arial"/>
          <w:color w:val="auto"/>
        </w:rPr>
        <w:t>SenBJW</w:t>
      </w:r>
      <w:proofErr w:type="spellEnd"/>
      <w:r w:rsidRPr="006F0BF5">
        <w:rPr>
          <w:rFonts w:ascii="Arial" w:hAnsi="Arial" w:cs="Arial"/>
          <w:color w:val="auto"/>
        </w:rPr>
        <w:t xml:space="preserve"> Berlin (2014); Handbuch Vorbereitungsdienst: Materialien für den reformierten Berliner Vorbereitungsdienst</w:t>
      </w:r>
    </w:p>
    <w:p w14:paraId="6164DF4B" w14:textId="77777777" w:rsidR="008C1F31" w:rsidRPr="006F0BF5" w:rsidRDefault="008C1F31" w:rsidP="008C1F31">
      <w:pPr>
        <w:pStyle w:val="Flietext10"/>
        <w:rPr>
          <w:rFonts w:ascii="Arial" w:hAnsi="Arial" w:cs="Arial"/>
          <w:color w:val="auto"/>
        </w:rPr>
      </w:pPr>
      <w:r w:rsidRPr="006F0BF5">
        <w:rPr>
          <w:rFonts w:ascii="Arial" w:hAnsi="Arial" w:cs="Arial"/>
          <w:color w:val="auto"/>
        </w:rPr>
        <w:t>MBWJK Rheinland-Pfalz (2010): Orientierungsrahmen Schulqualität</w:t>
      </w:r>
    </w:p>
    <w:p w14:paraId="75D73249" w14:textId="77777777" w:rsidR="008C1F31" w:rsidRPr="006F0BF5" w:rsidRDefault="008C1F31" w:rsidP="008C1F31">
      <w:pPr>
        <w:pStyle w:val="Flietext10"/>
        <w:rPr>
          <w:rFonts w:ascii="Arial" w:hAnsi="Arial" w:cs="Arial"/>
          <w:color w:val="auto"/>
        </w:rPr>
      </w:pPr>
      <w:r w:rsidRPr="006F0BF5">
        <w:rPr>
          <w:rFonts w:ascii="Arial" w:hAnsi="Arial" w:cs="Arial"/>
          <w:color w:val="auto"/>
        </w:rPr>
        <w:t>MKJS Baden-Württemberg (2013): Vorbereitungsdienst für das Lehramt Sonderpädagogik: Leitgedanken, Kompetenzbereiche, Kompetenzen (Stand Oktober 2013)</w:t>
      </w:r>
    </w:p>
    <w:p w14:paraId="5BB105E4" w14:textId="77777777" w:rsidR="00A20B4E" w:rsidRPr="006F0BF5" w:rsidRDefault="00A20B4E" w:rsidP="00292777">
      <w:pPr>
        <w:pStyle w:val="Flietext10"/>
        <w:rPr>
          <w:rFonts w:ascii="Arial" w:hAnsi="Arial" w:cs="Arial"/>
          <w:color w:val="auto"/>
        </w:rPr>
      </w:pPr>
    </w:p>
    <w:p w14:paraId="313BE0E8" w14:textId="77777777" w:rsidR="00781B81" w:rsidRPr="006F0BF5" w:rsidRDefault="00781B81" w:rsidP="008C1F31">
      <w:pPr>
        <w:pStyle w:val="Flietext10"/>
        <w:rPr>
          <w:rFonts w:ascii="Arial" w:hAnsi="Arial" w:cs="Arial"/>
          <w:color w:val="auto"/>
        </w:rPr>
      </w:pPr>
    </w:p>
    <w:sectPr w:rsidR="00781B81" w:rsidRPr="006F0BF5" w:rsidSect="00AB6880">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2EE6" w14:textId="77777777" w:rsidR="00544922" w:rsidRDefault="00544922" w:rsidP="004E45B8">
      <w:r>
        <w:separator/>
      </w:r>
    </w:p>
  </w:endnote>
  <w:endnote w:type="continuationSeparator" w:id="0">
    <w:p w14:paraId="3F2287C1" w14:textId="77777777" w:rsidR="00544922" w:rsidRDefault="00544922" w:rsidP="004E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88C9" w14:textId="77777777" w:rsidR="00544922" w:rsidRDefault="00544922" w:rsidP="004E45B8">
      <w:r>
        <w:separator/>
      </w:r>
    </w:p>
  </w:footnote>
  <w:footnote w:type="continuationSeparator" w:id="0">
    <w:p w14:paraId="33596006" w14:textId="77777777" w:rsidR="00544922" w:rsidRDefault="00544922" w:rsidP="004E45B8">
      <w:r>
        <w:continuationSeparator/>
      </w:r>
    </w:p>
  </w:footnote>
  <w:footnote w:id="1">
    <w:p w14:paraId="2BD2DC2B" w14:textId="77777777" w:rsidR="00FE6F62" w:rsidRDefault="00FE6F62" w:rsidP="00AB522D">
      <w:pPr>
        <w:pStyle w:val="Funotentext"/>
      </w:pPr>
      <w:r>
        <w:rPr>
          <w:rStyle w:val="Funotenzeichen"/>
        </w:rPr>
        <w:footnoteRef/>
      </w:r>
      <w:r>
        <w:t xml:space="preserve"> vgl. VBS, 2011</w:t>
      </w:r>
    </w:p>
  </w:footnote>
  <w:footnote w:id="2">
    <w:p w14:paraId="53551A03" w14:textId="77777777" w:rsidR="00FE6F62" w:rsidRDefault="00FE6F62" w:rsidP="00AB522D">
      <w:pPr>
        <w:pStyle w:val="Funotentext"/>
      </w:pPr>
      <w:r>
        <w:rPr>
          <w:rStyle w:val="Funotenzeichen"/>
        </w:rPr>
        <w:footnoteRef/>
      </w:r>
      <w:r>
        <w:t xml:space="preserve"> vgl. Lang/Hofer/Beyer,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27E4" w14:textId="294FC5FA" w:rsidR="00FE6F62" w:rsidRDefault="00FE6F62" w:rsidP="004E45B8">
    <w:pPr>
      <w:pStyle w:val="Kopfzeile"/>
      <w:jc w:val="right"/>
    </w:pPr>
    <w:r>
      <w:t xml:space="preserve">Stand: </w:t>
    </w:r>
    <w:r w:rsidR="00C24166">
      <w:t>25.10.2022</w:t>
    </w:r>
  </w:p>
  <w:p w14:paraId="746ADC1D" w14:textId="77777777" w:rsidR="00C24166" w:rsidRDefault="00C24166" w:rsidP="004E45B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67E"/>
    <w:multiLevelType w:val="hybridMultilevel"/>
    <w:tmpl w:val="56346060"/>
    <w:lvl w:ilvl="0" w:tplc="D1622D70">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2C4F32"/>
    <w:multiLevelType w:val="hybridMultilevel"/>
    <w:tmpl w:val="6F2A2142"/>
    <w:lvl w:ilvl="0" w:tplc="D1622D70">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376DAF"/>
    <w:multiLevelType w:val="hybridMultilevel"/>
    <w:tmpl w:val="C1DA6B04"/>
    <w:lvl w:ilvl="0" w:tplc="DD48D78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BB677E"/>
    <w:multiLevelType w:val="multilevel"/>
    <w:tmpl w:val="31E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B8"/>
    <w:rsid w:val="00083532"/>
    <w:rsid w:val="00093265"/>
    <w:rsid w:val="000B40B6"/>
    <w:rsid w:val="000C14E2"/>
    <w:rsid w:val="000F3727"/>
    <w:rsid w:val="001F4169"/>
    <w:rsid w:val="002656DF"/>
    <w:rsid w:val="00266F54"/>
    <w:rsid w:val="00276723"/>
    <w:rsid w:val="00292777"/>
    <w:rsid w:val="002E23B4"/>
    <w:rsid w:val="002E436D"/>
    <w:rsid w:val="00304F4A"/>
    <w:rsid w:val="0031168E"/>
    <w:rsid w:val="00332456"/>
    <w:rsid w:val="00363760"/>
    <w:rsid w:val="00387261"/>
    <w:rsid w:val="003B4DBB"/>
    <w:rsid w:val="003E7F26"/>
    <w:rsid w:val="00417DA9"/>
    <w:rsid w:val="00424735"/>
    <w:rsid w:val="004C7150"/>
    <w:rsid w:val="004D4BA6"/>
    <w:rsid w:val="004E45B8"/>
    <w:rsid w:val="00523FC8"/>
    <w:rsid w:val="00542FBD"/>
    <w:rsid w:val="00544922"/>
    <w:rsid w:val="005C4F0A"/>
    <w:rsid w:val="00623A2C"/>
    <w:rsid w:val="00624BEA"/>
    <w:rsid w:val="00673715"/>
    <w:rsid w:val="006826B3"/>
    <w:rsid w:val="006843D3"/>
    <w:rsid w:val="006E052B"/>
    <w:rsid w:val="006F0BF5"/>
    <w:rsid w:val="006F6019"/>
    <w:rsid w:val="006F67E9"/>
    <w:rsid w:val="007241BD"/>
    <w:rsid w:val="00726188"/>
    <w:rsid w:val="00727DE5"/>
    <w:rsid w:val="00781B81"/>
    <w:rsid w:val="007B4467"/>
    <w:rsid w:val="007C6904"/>
    <w:rsid w:val="007F4BA8"/>
    <w:rsid w:val="00801BBB"/>
    <w:rsid w:val="008055A4"/>
    <w:rsid w:val="00861D79"/>
    <w:rsid w:val="00894912"/>
    <w:rsid w:val="008C1F31"/>
    <w:rsid w:val="008F6DED"/>
    <w:rsid w:val="009F0B37"/>
    <w:rsid w:val="00A040E1"/>
    <w:rsid w:val="00A20B4E"/>
    <w:rsid w:val="00A54D05"/>
    <w:rsid w:val="00A80A58"/>
    <w:rsid w:val="00AB522D"/>
    <w:rsid w:val="00AB6880"/>
    <w:rsid w:val="00B46F48"/>
    <w:rsid w:val="00B64376"/>
    <w:rsid w:val="00B65D8B"/>
    <w:rsid w:val="00BF601E"/>
    <w:rsid w:val="00C24166"/>
    <w:rsid w:val="00C61F2D"/>
    <w:rsid w:val="00C66E4F"/>
    <w:rsid w:val="00C739F7"/>
    <w:rsid w:val="00C7538E"/>
    <w:rsid w:val="00CD651A"/>
    <w:rsid w:val="00CD7094"/>
    <w:rsid w:val="00CF4A62"/>
    <w:rsid w:val="00D04C33"/>
    <w:rsid w:val="00D27EDF"/>
    <w:rsid w:val="00E7764B"/>
    <w:rsid w:val="00EA0197"/>
    <w:rsid w:val="00F05C71"/>
    <w:rsid w:val="00F27B73"/>
    <w:rsid w:val="00F624D1"/>
    <w:rsid w:val="00FE3C29"/>
    <w:rsid w:val="00FE6F6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16EF3"/>
  <w14:defaultImageDpi w14:val="300"/>
  <w15:docId w15:val="{6019D1F6-FA27-8A46-A8D4-9E9B603D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45B8"/>
    <w:rPr>
      <w:rFonts w:ascii="Arial" w:hAnsi="Arial"/>
    </w:rPr>
  </w:style>
  <w:style w:type="paragraph" w:styleId="berschrift1">
    <w:name w:val="heading 1"/>
    <w:basedOn w:val="Standard"/>
    <w:next w:val="Standard"/>
    <w:link w:val="berschrift1Zchn"/>
    <w:uiPriority w:val="9"/>
    <w:qFormat/>
    <w:rsid w:val="004E45B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4E45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42FB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45B8"/>
    <w:pPr>
      <w:tabs>
        <w:tab w:val="center" w:pos="4536"/>
        <w:tab w:val="right" w:pos="9072"/>
      </w:tabs>
    </w:pPr>
  </w:style>
  <w:style w:type="character" w:customStyle="1" w:styleId="KopfzeileZchn">
    <w:name w:val="Kopfzeile Zchn"/>
    <w:basedOn w:val="Absatz-Standardschriftart"/>
    <w:link w:val="Kopfzeile"/>
    <w:uiPriority w:val="99"/>
    <w:rsid w:val="004E45B8"/>
  </w:style>
  <w:style w:type="paragraph" w:styleId="Fuzeile">
    <w:name w:val="footer"/>
    <w:basedOn w:val="Standard"/>
    <w:link w:val="FuzeileZchn"/>
    <w:uiPriority w:val="99"/>
    <w:unhideWhenUsed/>
    <w:rsid w:val="004E45B8"/>
    <w:pPr>
      <w:tabs>
        <w:tab w:val="center" w:pos="4536"/>
        <w:tab w:val="right" w:pos="9072"/>
      </w:tabs>
    </w:pPr>
  </w:style>
  <w:style w:type="character" w:customStyle="1" w:styleId="FuzeileZchn">
    <w:name w:val="Fußzeile Zchn"/>
    <w:basedOn w:val="Absatz-Standardschriftart"/>
    <w:link w:val="Fuzeile"/>
    <w:uiPriority w:val="99"/>
    <w:rsid w:val="004E45B8"/>
  </w:style>
  <w:style w:type="character" w:customStyle="1" w:styleId="berschrift1Zchn">
    <w:name w:val="Überschrift 1 Zchn"/>
    <w:basedOn w:val="Absatz-Standardschriftart"/>
    <w:link w:val="berschrift1"/>
    <w:uiPriority w:val="9"/>
    <w:rsid w:val="004E45B8"/>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sid w:val="004E45B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42FBD"/>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542FBD"/>
    <w:pPr>
      <w:spacing w:before="100" w:beforeAutospacing="1" w:after="100" w:afterAutospacing="1"/>
    </w:pPr>
    <w:rPr>
      <w:rFonts w:ascii="Times" w:hAnsi="Times" w:cs="Times New Roman"/>
      <w:sz w:val="20"/>
      <w:szCs w:val="20"/>
    </w:rPr>
  </w:style>
  <w:style w:type="paragraph" w:styleId="Listenabsatz">
    <w:name w:val="List Paragraph"/>
    <w:basedOn w:val="Standard"/>
    <w:uiPriority w:val="34"/>
    <w:qFormat/>
    <w:rsid w:val="00AB522D"/>
    <w:pPr>
      <w:ind w:left="720"/>
      <w:contextualSpacing/>
    </w:pPr>
  </w:style>
  <w:style w:type="paragraph" w:styleId="Funotentext">
    <w:name w:val="footnote text"/>
    <w:basedOn w:val="Standard"/>
    <w:link w:val="FunotentextZchn"/>
    <w:uiPriority w:val="99"/>
    <w:unhideWhenUsed/>
    <w:rsid w:val="00AB522D"/>
    <w:rPr>
      <w:rFonts w:asciiTheme="minorHAnsi" w:hAnsiTheme="minorHAnsi"/>
    </w:rPr>
  </w:style>
  <w:style w:type="character" w:customStyle="1" w:styleId="FunotentextZchn">
    <w:name w:val="Fußnotentext Zchn"/>
    <w:basedOn w:val="Absatz-Standardschriftart"/>
    <w:link w:val="Funotentext"/>
    <w:uiPriority w:val="99"/>
    <w:rsid w:val="00AB522D"/>
  </w:style>
  <w:style w:type="character" w:styleId="Funotenzeichen">
    <w:name w:val="footnote reference"/>
    <w:basedOn w:val="Absatz-Standardschriftart"/>
    <w:uiPriority w:val="99"/>
    <w:unhideWhenUsed/>
    <w:rsid w:val="00AB522D"/>
    <w:rPr>
      <w:vertAlign w:val="superscript"/>
    </w:rPr>
  </w:style>
  <w:style w:type="paragraph" w:customStyle="1" w:styleId="Flietext10">
    <w:name w:val="Fließtext 10"/>
    <w:basedOn w:val="Standard"/>
    <w:rsid w:val="00292777"/>
    <w:pPr>
      <w:widowControl w:val="0"/>
      <w:autoSpaceDE w:val="0"/>
      <w:spacing w:after="120" w:line="260" w:lineRule="atLeast"/>
      <w:textAlignment w:val="center"/>
    </w:pPr>
    <w:rPr>
      <w:rFonts w:ascii="Univers" w:eastAsia="Univers" w:hAnsi="Univers" w:cs="Univers"/>
      <w:color w:val="000000"/>
      <w:sz w:val="20"/>
    </w:rPr>
  </w:style>
  <w:style w:type="paragraph" w:styleId="Sprechblasentext">
    <w:name w:val="Balloon Text"/>
    <w:basedOn w:val="Standard"/>
    <w:link w:val="SprechblasentextZchn"/>
    <w:uiPriority w:val="99"/>
    <w:semiHidden/>
    <w:unhideWhenUsed/>
    <w:rsid w:val="00C753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538E"/>
    <w:rPr>
      <w:rFonts w:ascii="Tahoma" w:hAnsi="Tahoma" w:cs="Tahoma"/>
      <w:sz w:val="16"/>
      <w:szCs w:val="16"/>
    </w:rPr>
  </w:style>
  <w:style w:type="character" w:styleId="Kommentarzeichen">
    <w:name w:val="annotation reference"/>
    <w:basedOn w:val="Absatz-Standardschriftart"/>
    <w:uiPriority w:val="99"/>
    <w:semiHidden/>
    <w:unhideWhenUsed/>
    <w:rsid w:val="00C7538E"/>
    <w:rPr>
      <w:sz w:val="16"/>
      <w:szCs w:val="16"/>
    </w:rPr>
  </w:style>
  <w:style w:type="paragraph" w:styleId="Kommentartext">
    <w:name w:val="annotation text"/>
    <w:basedOn w:val="Standard"/>
    <w:link w:val="KommentartextZchn"/>
    <w:uiPriority w:val="99"/>
    <w:semiHidden/>
    <w:unhideWhenUsed/>
    <w:rsid w:val="00C7538E"/>
    <w:rPr>
      <w:sz w:val="20"/>
      <w:szCs w:val="20"/>
    </w:rPr>
  </w:style>
  <w:style w:type="character" w:customStyle="1" w:styleId="KommentartextZchn">
    <w:name w:val="Kommentartext Zchn"/>
    <w:basedOn w:val="Absatz-Standardschriftart"/>
    <w:link w:val="Kommentartext"/>
    <w:uiPriority w:val="99"/>
    <w:semiHidden/>
    <w:rsid w:val="00C7538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7538E"/>
    <w:rPr>
      <w:b/>
      <w:bCs/>
    </w:rPr>
  </w:style>
  <w:style w:type="character" w:customStyle="1" w:styleId="KommentarthemaZchn">
    <w:name w:val="Kommentarthema Zchn"/>
    <w:basedOn w:val="KommentartextZchn"/>
    <w:link w:val="Kommentarthema"/>
    <w:uiPriority w:val="99"/>
    <w:semiHidden/>
    <w:rsid w:val="00C7538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381">
      <w:bodyDiv w:val="1"/>
      <w:marLeft w:val="0"/>
      <w:marRight w:val="0"/>
      <w:marTop w:val="0"/>
      <w:marBottom w:val="0"/>
      <w:divBdr>
        <w:top w:val="none" w:sz="0" w:space="0" w:color="auto"/>
        <w:left w:val="none" w:sz="0" w:space="0" w:color="auto"/>
        <w:bottom w:val="none" w:sz="0" w:space="0" w:color="auto"/>
        <w:right w:val="none" w:sz="0" w:space="0" w:color="auto"/>
      </w:divBdr>
      <w:divsChild>
        <w:div w:id="351297873">
          <w:marLeft w:val="0"/>
          <w:marRight w:val="0"/>
          <w:marTop w:val="0"/>
          <w:marBottom w:val="0"/>
          <w:divBdr>
            <w:top w:val="none" w:sz="0" w:space="0" w:color="auto"/>
            <w:left w:val="none" w:sz="0" w:space="0" w:color="auto"/>
            <w:bottom w:val="none" w:sz="0" w:space="0" w:color="auto"/>
            <w:right w:val="none" w:sz="0" w:space="0" w:color="auto"/>
          </w:divBdr>
          <w:divsChild>
            <w:div w:id="402139413">
              <w:marLeft w:val="0"/>
              <w:marRight w:val="0"/>
              <w:marTop w:val="0"/>
              <w:marBottom w:val="0"/>
              <w:divBdr>
                <w:top w:val="none" w:sz="0" w:space="0" w:color="auto"/>
                <w:left w:val="none" w:sz="0" w:space="0" w:color="auto"/>
                <w:bottom w:val="none" w:sz="0" w:space="0" w:color="auto"/>
                <w:right w:val="none" w:sz="0" w:space="0" w:color="auto"/>
              </w:divBdr>
              <w:divsChild>
                <w:div w:id="1024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5655">
      <w:bodyDiv w:val="1"/>
      <w:marLeft w:val="0"/>
      <w:marRight w:val="0"/>
      <w:marTop w:val="0"/>
      <w:marBottom w:val="0"/>
      <w:divBdr>
        <w:top w:val="none" w:sz="0" w:space="0" w:color="auto"/>
        <w:left w:val="none" w:sz="0" w:space="0" w:color="auto"/>
        <w:bottom w:val="none" w:sz="0" w:space="0" w:color="auto"/>
        <w:right w:val="none" w:sz="0" w:space="0" w:color="auto"/>
      </w:divBdr>
    </w:div>
    <w:div w:id="430899670">
      <w:bodyDiv w:val="1"/>
      <w:marLeft w:val="0"/>
      <w:marRight w:val="0"/>
      <w:marTop w:val="0"/>
      <w:marBottom w:val="0"/>
      <w:divBdr>
        <w:top w:val="none" w:sz="0" w:space="0" w:color="auto"/>
        <w:left w:val="none" w:sz="0" w:space="0" w:color="auto"/>
        <w:bottom w:val="none" w:sz="0" w:space="0" w:color="auto"/>
        <w:right w:val="none" w:sz="0" w:space="0" w:color="auto"/>
      </w:divBdr>
      <w:divsChild>
        <w:div w:id="27340657">
          <w:marLeft w:val="0"/>
          <w:marRight w:val="0"/>
          <w:marTop w:val="0"/>
          <w:marBottom w:val="0"/>
          <w:divBdr>
            <w:top w:val="none" w:sz="0" w:space="0" w:color="auto"/>
            <w:left w:val="none" w:sz="0" w:space="0" w:color="auto"/>
            <w:bottom w:val="none" w:sz="0" w:space="0" w:color="auto"/>
            <w:right w:val="none" w:sz="0" w:space="0" w:color="auto"/>
          </w:divBdr>
          <w:divsChild>
            <w:div w:id="960764056">
              <w:marLeft w:val="0"/>
              <w:marRight w:val="0"/>
              <w:marTop w:val="0"/>
              <w:marBottom w:val="0"/>
              <w:divBdr>
                <w:top w:val="none" w:sz="0" w:space="0" w:color="auto"/>
                <w:left w:val="none" w:sz="0" w:space="0" w:color="auto"/>
                <w:bottom w:val="none" w:sz="0" w:space="0" w:color="auto"/>
                <w:right w:val="none" w:sz="0" w:space="0" w:color="auto"/>
              </w:divBdr>
              <w:divsChild>
                <w:div w:id="1400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3709">
      <w:bodyDiv w:val="1"/>
      <w:marLeft w:val="0"/>
      <w:marRight w:val="0"/>
      <w:marTop w:val="0"/>
      <w:marBottom w:val="0"/>
      <w:divBdr>
        <w:top w:val="none" w:sz="0" w:space="0" w:color="auto"/>
        <w:left w:val="none" w:sz="0" w:space="0" w:color="auto"/>
        <w:bottom w:val="none" w:sz="0" w:space="0" w:color="auto"/>
        <w:right w:val="none" w:sz="0" w:space="0" w:color="auto"/>
      </w:divBdr>
      <w:divsChild>
        <w:div w:id="902526124">
          <w:marLeft w:val="0"/>
          <w:marRight w:val="0"/>
          <w:marTop w:val="0"/>
          <w:marBottom w:val="0"/>
          <w:divBdr>
            <w:top w:val="none" w:sz="0" w:space="0" w:color="auto"/>
            <w:left w:val="none" w:sz="0" w:space="0" w:color="auto"/>
            <w:bottom w:val="none" w:sz="0" w:space="0" w:color="auto"/>
            <w:right w:val="none" w:sz="0" w:space="0" w:color="auto"/>
          </w:divBdr>
          <w:divsChild>
            <w:div w:id="2122409138">
              <w:marLeft w:val="0"/>
              <w:marRight w:val="0"/>
              <w:marTop w:val="0"/>
              <w:marBottom w:val="0"/>
              <w:divBdr>
                <w:top w:val="none" w:sz="0" w:space="0" w:color="auto"/>
                <w:left w:val="none" w:sz="0" w:space="0" w:color="auto"/>
                <w:bottom w:val="none" w:sz="0" w:space="0" w:color="auto"/>
                <w:right w:val="none" w:sz="0" w:space="0" w:color="auto"/>
              </w:divBdr>
              <w:divsChild>
                <w:div w:id="525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5614">
      <w:bodyDiv w:val="1"/>
      <w:marLeft w:val="0"/>
      <w:marRight w:val="0"/>
      <w:marTop w:val="0"/>
      <w:marBottom w:val="0"/>
      <w:divBdr>
        <w:top w:val="none" w:sz="0" w:space="0" w:color="auto"/>
        <w:left w:val="none" w:sz="0" w:space="0" w:color="auto"/>
        <w:bottom w:val="none" w:sz="0" w:space="0" w:color="auto"/>
        <w:right w:val="none" w:sz="0" w:space="0" w:color="auto"/>
      </w:divBdr>
      <w:divsChild>
        <w:div w:id="2042969243">
          <w:marLeft w:val="0"/>
          <w:marRight w:val="0"/>
          <w:marTop w:val="0"/>
          <w:marBottom w:val="0"/>
          <w:divBdr>
            <w:top w:val="none" w:sz="0" w:space="0" w:color="auto"/>
            <w:left w:val="none" w:sz="0" w:space="0" w:color="auto"/>
            <w:bottom w:val="none" w:sz="0" w:space="0" w:color="auto"/>
            <w:right w:val="none" w:sz="0" w:space="0" w:color="auto"/>
          </w:divBdr>
          <w:divsChild>
            <w:div w:id="1875999502">
              <w:marLeft w:val="0"/>
              <w:marRight w:val="0"/>
              <w:marTop w:val="0"/>
              <w:marBottom w:val="0"/>
              <w:divBdr>
                <w:top w:val="none" w:sz="0" w:space="0" w:color="auto"/>
                <w:left w:val="none" w:sz="0" w:space="0" w:color="auto"/>
                <w:bottom w:val="none" w:sz="0" w:space="0" w:color="auto"/>
                <w:right w:val="none" w:sz="0" w:space="0" w:color="auto"/>
              </w:divBdr>
              <w:divsChild>
                <w:div w:id="20149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37126">
      <w:bodyDiv w:val="1"/>
      <w:marLeft w:val="0"/>
      <w:marRight w:val="0"/>
      <w:marTop w:val="0"/>
      <w:marBottom w:val="0"/>
      <w:divBdr>
        <w:top w:val="none" w:sz="0" w:space="0" w:color="auto"/>
        <w:left w:val="none" w:sz="0" w:space="0" w:color="auto"/>
        <w:bottom w:val="none" w:sz="0" w:space="0" w:color="auto"/>
        <w:right w:val="none" w:sz="0" w:space="0" w:color="auto"/>
      </w:divBdr>
    </w:div>
    <w:div w:id="1251432050">
      <w:bodyDiv w:val="1"/>
      <w:marLeft w:val="0"/>
      <w:marRight w:val="0"/>
      <w:marTop w:val="0"/>
      <w:marBottom w:val="0"/>
      <w:divBdr>
        <w:top w:val="none" w:sz="0" w:space="0" w:color="auto"/>
        <w:left w:val="none" w:sz="0" w:space="0" w:color="auto"/>
        <w:bottom w:val="none" w:sz="0" w:space="0" w:color="auto"/>
        <w:right w:val="none" w:sz="0" w:space="0" w:color="auto"/>
      </w:divBdr>
    </w:div>
    <w:div w:id="1369523508">
      <w:bodyDiv w:val="1"/>
      <w:marLeft w:val="0"/>
      <w:marRight w:val="0"/>
      <w:marTop w:val="0"/>
      <w:marBottom w:val="0"/>
      <w:divBdr>
        <w:top w:val="none" w:sz="0" w:space="0" w:color="auto"/>
        <w:left w:val="none" w:sz="0" w:space="0" w:color="auto"/>
        <w:bottom w:val="none" w:sz="0" w:space="0" w:color="auto"/>
        <w:right w:val="none" w:sz="0" w:space="0" w:color="auto"/>
      </w:divBdr>
      <w:divsChild>
        <w:div w:id="476459837">
          <w:marLeft w:val="0"/>
          <w:marRight w:val="0"/>
          <w:marTop w:val="0"/>
          <w:marBottom w:val="0"/>
          <w:divBdr>
            <w:top w:val="none" w:sz="0" w:space="0" w:color="auto"/>
            <w:left w:val="none" w:sz="0" w:space="0" w:color="auto"/>
            <w:bottom w:val="none" w:sz="0" w:space="0" w:color="auto"/>
            <w:right w:val="none" w:sz="0" w:space="0" w:color="auto"/>
          </w:divBdr>
          <w:divsChild>
            <w:div w:id="883105411">
              <w:marLeft w:val="0"/>
              <w:marRight w:val="0"/>
              <w:marTop w:val="0"/>
              <w:marBottom w:val="0"/>
              <w:divBdr>
                <w:top w:val="none" w:sz="0" w:space="0" w:color="auto"/>
                <w:left w:val="none" w:sz="0" w:space="0" w:color="auto"/>
                <w:bottom w:val="none" w:sz="0" w:space="0" w:color="auto"/>
                <w:right w:val="none" w:sz="0" w:space="0" w:color="auto"/>
              </w:divBdr>
              <w:divsChild>
                <w:div w:id="660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3271">
      <w:bodyDiv w:val="1"/>
      <w:marLeft w:val="0"/>
      <w:marRight w:val="0"/>
      <w:marTop w:val="0"/>
      <w:marBottom w:val="0"/>
      <w:divBdr>
        <w:top w:val="none" w:sz="0" w:space="0" w:color="auto"/>
        <w:left w:val="none" w:sz="0" w:space="0" w:color="auto"/>
        <w:bottom w:val="none" w:sz="0" w:space="0" w:color="auto"/>
        <w:right w:val="none" w:sz="0" w:space="0" w:color="auto"/>
      </w:divBdr>
      <w:divsChild>
        <w:div w:id="1366248232">
          <w:marLeft w:val="0"/>
          <w:marRight w:val="0"/>
          <w:marTop w:val="0"/>
          <w:marBottom w:val="0"/>
          <w:divBdr>
            <w:top w:val="none" w:sz="0" w:space="0" w:color="auto"/>
            <w:left w:val="none" w:sz="0" w:space="0" w:color="auto"/>
            <w:bottom w:val="none" w:sz="0" w:space="0" w:color="auto"/>
            <w:right w:val="none" w:sz="0" w:space="0" w:color="auto"/>
          </w:divBdr>
          <w:divsChild>
            <w:div w:id="1985162946">
              <w:marLeft w:val="0"/>
              <w:marRight w:val="0"/>
              <w:marTop w:val="0"/>
              <w:marBottom w:val="0"/>
              <w:divBdr>
                <w:top w:val="none" w:sz="0" w:space="0" w:color="auto"/>
                <w:left w:val="none" w:sz="0" w:space="0" w:color="auto"/>
                <w:bottom w:val="none" w:sz="0" w:space="0" w:color="auto"/>
                <w:right w:val="none" w:sz="0" w:space="0" w:color="auto"/>
              </w:divBdr>
              <w:divsChild>
                <w:div w:id="16719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2141">
      <w:bodyDiv w:val="1"/>
      <w:marLeft w:val="0"/>
      <w:marRight w:val="0"/>
      <w:marTop w:val="0"/>
      <w:marBottom w:val="0"/>
      <w:divBdr>
        <w:top w:val="none" w:sz="0" w:space="0" w:color="auto"/>
        <w:left w:val="none" w:sz="0" w:space="0" w:color="auto"/>
        <w:bottom w:val="none" w:sz="0" w:space="0" w:color="auto"/>
        <w:right w:val="none" w:sz="0" w:space="0" w:color="auto"/>
      </w:divBdr>
      <w:divsChild>
        <w:div w:id="1686899021">
          <w:marLeft w:val="0"/>
          <w:marRight w:val="0"/>
          <w:marTop w:val="0"/>
          <w:marBottom w:val="0"/>
          <w:divBdr>
            <w:top w:val="none" w:sz="0" w:space="0" w:color="auto"/>
            <w:left w:val="none" w:sz="0" w:space="0" w:color="auto"/>
            <w:bottom w:val="none" w:sz="0" w:space="0" w:color="auto"/>
            <w:right w:val="none" w:sz="0" w:space="0" w:color="auto"/>
          </w:divBdr>
          <w:divsChild>
            <w:div w:id="367998866">
              <w:marLeft w:val="0"/>
              <w:marRight w:val="0"/>
              <w:marTop w:val="0"/>
              <w:marBottom w:val="0"/>
              <w:divBdr>
                <w:top w:val="none" w:sz="0" w:space="0" w:color="auto"/>
                <w:left w:val="none" w:sz="0" w:space="0" w:color="auto"/>
                <w:bottom w:val="none" w:sz="0" w:space="0" w:color="auto"/>
                <w:right w:val="none" w:sz="0" w:space="0" w:color="auto"/>
              </w:divBdr>
              <w:divsChild>
                <w:div w:id="1419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493">
      <w:bodyDiv w:val="1"/>
      <w:marLeft w:val="0"/>
      <w:marRight w:val="0"/>
      <w:marTop w:val="0"/>
      <w:marBottom w:val="0"/>
      <w:divBdr>
        <w:top w:val="none" w:sz="0" w:space="0" w:color="auto"/>
        <w:left w:val="none" w:sz="0" w:space="0" w:color="auto"/>
        <w:bottom w:val="none" w:sz="0" w:space="0" w:color="auto"/>
        <w:right w:val="none" w:sz="0" w:space="0" w:color="auto"/>
      </w:divBdr>
      <w:divsChild>
        <w:div w:id="434986637">
          <w:marLeft w:val="0"/>
          <w:marRight w:val="0"/>
          <w:marTop w:val="0"/>
          <w:marBottom w:val="0"/>
          <w:divBdr>
            <w:top w:val="none" w:sz="0" w:space="0" w:color="auto"/>
            <w:left w:val="none" w:sz="0" w:space="0" w:color="auto"/>
            <w:bottom w:val="none" w:sz="0" w:space="0" w:color="auto"/>
            <w:right w:val="none" w:sz="0" w:space="0" w:color="auto"/>
          </w:divBdr>
          <w:divsChild>
            <w:div w:id="760108866">
              <w:marLeft w:val="0"/>
              <w:marRight w:val="0"/>
              <w:marTop w:val="0"/>
              <w:marBottom w:val="0"/>
              <w:divBdr>
                <w:top w:val="none" w:sz="0" w:space="0" w:color="auto"/>
                <w:left w:val="none" w:sz="0" w:space="0" w:color="auto"/>
                <w:bottom w:val="none" w:sz="0" w:space="0" w:color="auto"/>
                <w:right w:val="none" w:sz="0" w:space="0" w:color="auto"/>
              </w:divBdr>
              <w:divsChild>
                <w:div w:id="2270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2749">
      <w:bodyDiv w:val="1"/>
      <w:marLeft w:val="0"/>
      <w:marRight w:val="0"/>
      <w:marTop w:val="0"/>
      <w:marBottom w:val="0"/>
      <w:divBdr>
        <w:top w:val="none" w:sz="0" w:space="0" w:color="auto"/>
        <w:left w:val="none" w:sz="0" w:space="0" w:color="auto"/>
        <w:bottom w:val="none" w:sz="0" w:space="0" w:color="auto"/>
        <w:right w:val="none" w:sz="0" w:space="0" w:color="auto"/>
      </w:divBdr>
      <w:divsChild>
        <w:div w:id="1170950382">
          <w:marLeft w:val="0"/>
          <w:marRight w:val="0"/>
          <w:marTop w:val="0"/>
          <w:marBottom w:val="0"/>
          <w:divBdr>
            <w:top w:val="none" w:sz="0" w:space="0" w:color="auto"/>
            <w:left w:val="none" w:sz="0" w:space="0" w:color="auto"/>
            <w:bottom w:val="none" w:sz="0" w:space="0" w:color="auto"/>
            <w:right w:val="none" w:sz="0" w:space="0" w:color="auto"/>
          </w:divBdr>
          <w:divsChild>
            <w:div w:id="1074279069">
              <w:marLeft w:val="0"/>
              <w:marRight w:val="0"/>
              <w:marTop w:val="0"/>
              <w:marBottom w:val="0"/>
              <w:divBdr>
                <w:top w:val="none" w:sz="0" w:space="0" w:color="auto"/>
                <w:left w:val="none" w:sz="0" w:space="0" w:color="auto"/>
                <w:bottom w:val="none" w:sz="0" w:space="0" w:color="auto"/>
                <w:right w:val="none" w:sz="0" w:space="0" w:color="auto"/>
              </w:divBdr>
              <w:divsChild>
                <w:div w:id="8023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8078">
      <w:bodyDiv w:val="1"/>
      <w:marLeft w:val="0"/>
      <w:marRight w:val="0"/>
      <w:marTop w:val="0"/>
      <w:marBottom w:val="0"/>
      <w:divBdr>
        <w:top w:val="none" w:sz="0" w:space="0" w:color="auto"/>
        <w:left w:val="none" w:sz="0" w:space="0" w:color="auto"/>
        <w:bottom w:val="none" w:sz="0" w:space="0" w:color="auto"/>
        <w:right w:val="none" w:sz="0" w:space="0" w:color="auto"/>
      </w:divBdr>
      <w:divsChild>
        <w:div w:id="1974166001">
          <w:marLeft w:val="0"/>
          <w:marRight w:val="0"/>
          <w:marTop w:val="0"/>
          <w:marBottom w:val="0"/>
          <w:divBdr>
            <w:top w:val="none" w:sz="0" w:space="0" w:color="auto"/>
            <w:left w:val="none" w:sz="0" w:space="0" w:color="auto"/>
            <w:bottom w:val="none" w:sz="0" w:space="0" w:color="auto"/>
            <w:right w:val="none" w:sz="0" w:space="0" w:color="auto"/>
          </w:divBdr>
          <w:divsChild>
            <w:div w:id="2073041421">
              <w:marLeft w:val="0"/>
              <w:marRight w:val="0"/>
              <w:marTop w:val="0"/>
              <w:marBottom w:val="0"/>
              <w:divBdr>
                <w:top w:val="none" w:sz="0" w:space="0" w:color="auto"/>
                <w:left w:val="none" w:sz="0" w:space="0" w:color="auto"/>
                <w:bottom w:val="none" w:sz="0" w:space="0" w:color="auto"/>
                <w:right w:val="none" w:sz="0" w:space="0" w:color="auto"/>
              </w:divBdr>
              <w:divsChild>
                <w:div w:id="16488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8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1C5A-848F-0F43-838D-AA8CC012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1778</Words>
  <Characters>11202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Wahl</dc:creator>
  <cp:lastModifiedBy>Barbara Wahl</cp:lastModifiedBy>
  <cp:revision>3</cp:revision>
  <cp:lastPrinted>2016-01-10T15:53:00Z</cp:lastPrinted>
  <dcterms:created xsi:type="dcterms:W3CDTF">2022-10-25T08:28:00Z</dcterms:created>
  <dcterms:modified xsi:type="dcterms:W3CDTF">2022-10-25T08:28:00Z</dcterms:modified>
</cp:coreProperties>
</file>